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住宅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 xml:space="preserve">  </w:t>
      </w:r>
      <w:r>
        <w:rPr>
          <w:rFonts w:hint="eastAsia"/>
        </w:rPr>
        <w:t>类民用建筑工程</w:t>
      </w:r>
    </w:p>
    <w:p>
      <w:r>
        <w:rPr>
          <w:rFonts w:hint="eastAsia"/>
        </w:rPr>
        <w:t>检测情况：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4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不高于25μg/m³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不高于50μg/m³​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气体污染物、固体污染物、微生物污染物。装修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材料多多少少均含有不等的甲醛、苯、氨、氡等四种污染物，零污染的装修材料是不存在的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装修设计图纸与设计说明：3建筑设计/ 工程说明.docx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建筑专业图纸与设计说明：3建筑设计/ 建筑专业图纸与设计说明/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30236BDE"/>
    <w:rsid w:val="4458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0</TotalTime>
  <ScaleCrop>false</ScaleCrop>
  <LinksUpToDate>false</LinksUpToDate>
  <CharactersWithSpaces>1061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Administrator</cp:lastModifiedBy>
  <dcterms:modified xsi:type="dcterms:W3CDTF">2022-03-11T14:37:27Z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1D4854E91589434FBDAA35A0C1E1ADB6</vt:lpwstr>
  </property>
</Properties>
</file>