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</w:rPr>
      </w:pPr>
      <w:r>
        <w:rPr>
          <w:rStyle w:val="7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>
      <w:pPr>
        <w:tabs>
          <w:tab w:val="left" w:pos="605"/>
        </w:tabs>
        <w:rPr>
          <w:rFonts w:hint="eastAsia"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本项目位于河南省郑州市二七区，从绿色建筑和可持续发展的角度考虑环境——建筑——人之间的关系。在推进以人为核心的新型城镇化、促进实现全体人民住有所居的今天，构想成为城市中心针对青年人才、青年创业者的宜居绿色租赁社区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整个规划总用地面积接近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20924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平方米，地块内部较为整体平坦。本次建设面积地上为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32225.3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平米，包括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一层社区基础服务设施4460.5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平米（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层），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住宅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建筑面积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27764.8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平方米（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～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层），地下总建筑面积为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8130.5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平米，包括机动车库面积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3540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平米，非机动车面积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708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地坑院负一层建筑面积3882.5平米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。</w:t>
      </w:r>
    </w:p>
    <w:p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1.2.计算目的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1.3.计算依据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5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91"/>
        <w:gridCol w:w="618"/>
        <w:gridCol w:w="609"/>
        <w:gridCol w:w="582"/>
        <w:gridCol w:w="600"/>
        <w:gridCol w:w="591"/>
        <w:gridCol w:w="618"/>
        <w:gridCol w:w="529"/>
        <w:gridCol w:w="441"/>
        <w:gridCol w:w="468"/>
        <w:gridCol w:w="432"/>
        <w:gridCol w:w="494"/>
        <w:gridCol w:w="433"/>
        <w:gridCol w:w="494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pict>
                <v:shape id="_x0000_s1027" o:spid="_x0000_s1027" o:spt="32" type="#_x0000_t32" style="position:absolute;left:0pt;margin-left:-4.9pt;margin-top:-0.1pt;height:26.5pt;width:56.7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6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58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52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44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10层</w:t>
            </w:r>
            <w:bookmarkEnd w:id="0"/>
          </w:p>
        </w:tc>
        <w:tc>
          <w:tcPr>
            <w:tcW w:w="4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11层</w:t>
            </w:r>
          </w:p>
        </w:tc>
        <w:tc>
          <w:tcPr>
            <w:tcW w:w="43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12层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13层</w:t>
            </w:r>
          </w:p>
        </w:tc>
        <w:tc>
          <w:tcPr>
            <w:tcW w:w="43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14层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15层</w:t>
            </w:r>
          </w:p>
        </w:tc>
        <w:tc>
          <w:tcPr>
            <w:tcW w:w="5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3260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3260</w:t>
            </w:r>
          </w:p>
        </w:tc>
        <w:tc>
          <w:tcPr>
            <w:tcW w:w="6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2988</w:t>
            </w:r>
          </w:p>
        </w:tc>
        <w:tc>
          <w:tcPr>
            <w:tcW w:w="58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2988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2988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2320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2320</w:t>
            </w:r>
          </w:p>
        </w:tc>
        <w:tc>
          <w:tcPr>
            <w:tcW w:w="52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1664</w:t>
            </w:r>
          </w:p>
        </w:tc>
        <w:tc>
          <w:tcPr>
            <w:tcW w:w="44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1664</w:t>
            </w:r>
          </w:p>
        </w:tc>
        <w:tc>
          <w:tcPr>
            <w:tcW w:w="4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1221</w:t>
            </w:r>
          </w:p>
        </w:tc>
        <w:tc>
          <w:tcPr>
            <w:tcW w:w="43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1221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807</w:t>
            </w:r>
          </w:p>
        </w:tc>
        <w:tc>
          <w:tcPr>
            <w:tcW w:w="43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807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5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不可变换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1087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1087</w:t>
            </w:r>
          </w:p>
        </w:tc>
        <w:tc>
          <w:tcPr>
            <w:tcW w:w="6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996</w:t>
            </w:r>
          </w:p>
        </w:tc>
        <w:tc>
          <w:tcPr>
            <w:tcW w:w="58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996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996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774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774</w:t>
            </w:r>
          </w:p>
        </w:tc>
        <w:tc>
          <w:tcPr>
            <w:tcW w:w="52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44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4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43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43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5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2173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2173</w:t>
            </w:r>
          </w:p>
        </w:tc>
        <w:tc>
          <w:tcPr>
            <w:tcW w:w="6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1992</w:t>
            </w:r>
          </w:p>
        </w:tc>
        <w:tc>
          <w:tcPr>
            <w:tcW w:w="58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1992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1992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1546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1546</w:t>
            </w:r>
          </w:p>
        </w:tc>
        <w:tc>
          <w:tcPr>
            <w:tcW w:w="52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44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4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814</w:t>
            </w:r>
          </w:p>
        </w:tc>
        <w:tc>
          <w:tcPr>
            <w:tcW w:w="43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814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538</w:t>
            </w:r>
          </w:p>
        </w:tc>
        <w:tc>
          <w:tcPr>
            <w:tcW w:w="43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538</w:t>
            </w: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5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gridSpan w:val="3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总计(㎡)</w:t>
            </w:r>
          </w:p>
        </w:tc>
        <w:tc>
          <w:tcPr>
            <w:tcW w:w="3529" w:type="dxa"/>
            <w:gridSpan w:val="6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18784</w:t>
            </w:r>
          </w:p>
        </w:tc>
        <w:tc>
          <w:tcPr>
            <w:tcW w:w="44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32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49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5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2.2.灵活隔断的室内空间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本项目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在一层西侧商业建筑室内及负一层地坑院建筑室内设有灵活隔断</w:t>
      </w:r>
      <w:r>
        <w:rPr>
          <w:rFonts w:ascii="Times New Roman" w:hAnsi="Times New Roman" w:cs="宋体"/>
          <w:sz w:val="21"/>
          <w:szCs w:val="21"/>
          <w:lang w:eastAsia="zh-CN"/>
        </w:rPr>
        <w:t>。采用灵活隔断的统计面积如下表。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采用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624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合计(㎡)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844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2.3.灵活隔断的面积比例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844</w:t>
      </w:r>
      <w:r>
        <w:rPr>
          <w:rFonts w:ascii="Times New Roman" w:hAnsi="Times New Roman" w:cs="宋体"/>
          <w:sz w:val="21"/>
          <w:szCs w:val="21"/>
          <w:lang w:eastAsia="zh-CN"/>
        </w:rPr>
        <w:t>/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4460.5</w:t>
      </w:r>
      <w:r>
        <w:rPr>
          <w:rFonts w:ascii="Times New Roman" w:hAnsi="Times New Roman" w:cs="宋体"/>
          <w:sz w:val="21"/>
          <w:szCs w:val="21"/>
          <w:lang w:eastAsia="zh-CN"/>
        </w:rPr>
        <w:t>×100%=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18.9</w:t>
      </w:r>
      <w:r>
        <w:rPr>
          <w:rFonts w:ascii="Times New Roman" w:hAnsi="Times New Roman" w:cs="宋体"/>
          <w:sz w:val="21"/>
          <w:szCs w:val="21"/>
          <w:lang w:eastAsia="zh-CN"/>
        </w:rPr>
        <w:t>%；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非灵活隔断的面积比例=1-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18.9</w:t>
      </w:r>
      <w:r>
        <w:rPr>
          <w:rFonts w:ascii="Times New Roman" w:hAnsi="Times New Roman" w:cs="宋体"/>
          <w:sz w:val="21"/>
          <w:szCs w:val="21"/>
          <w:lang w:eastAsia="zh-CN"/>
        </w:rPr>
        <w:t>%=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81.1</w:t>
      </w:r>
      <w:r>
        <w:rPr>
          <w:rFonts w:ascii="Times New Roman" w:hAnsi="Times New Roman" w:cs="宋体"/>
          <w:sz w:val="21"/>
          <w:szCs w:val="21"/>
          <w:lang w:eastAsia="zh-CN"/>
        </w:rPr>
        <w:t>%。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针对《绿色建筑评价标准》GB50378-2019的第4.2.6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条</w:t>
      </w:r>
      <w:r>
        <w:rPr>
          <w:rFonts w:ascii="Times New Roman" w:hAnsi="Times New Roman" w:cs="宋体"/>
          <w:sz w:val="21"/>
          <w:szCs w:val="21"/>
          <w:lang w:eastAsia="zh-CN"/>
        </w:rPr>
        <w:t>“采取提升建筑适变性的措施，评价总分值为18分”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sz w:val="21"/>
          <w:szCs w:val="21"/>
          <w:lang w:eastAsia="zh-CN"/>
        </w:rPr>
        <w:t>满足第一点“采取通用开放、灵活可变的使用空间设计，或采取建筑使用功能可变措施，得7分”。该评分项可得7分。</w:t>
      </w:r>
      <w:bookmarkStart w:id="1" w:name="_GoBack"/>
      <w:bookmarkEnd w:id="1"/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40C34"/>
    <w:rsid w:val="00022519"/>
    <w:rsid w:val="00897ADE"/>
    <w:rsid w:val="00900B4A"/>
    <w:rsid w:val="00E40C34"/>
    <w:rsid w:val="234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2</TotalTime>
  <ScaleCrop>false</ScaleCrop>
  <LinksUpToDate>false</LinksUpToDate>
  <CharactersWithSpaces>1160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Boundarier</cp:lastModifiedBy>
  <dcterms:modified xsi:type="dcterms:W3CDTF">2022-03-05T02:48:10Z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C4D2B173B8924E96977ACC82DE5608B8</vt:lpwstr>
  </property>
</Properties>
</file>