
<file path=[Content_Types].xml><?xml version="1.0" encoding="utf-8"?>
<Types xmlns="http://schemas.openxmlformats.org/package/2006/content-types">
  <Default Extension="xml" ContentType="application/xml"/>
  <Default Extension="jpeg" ContentType="image/jpe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rPr>
          <w:rFonts w:ascii="黑体" w:hAnsi="宋体" w:eastAsia="黑体"/>
          <w:b/>
          <w:bCs/>
          <w:sz w:val="72"/>
          <w:szCs w:val="72"/>
        </w:rPr>
      </w:pPr>
    </w:p>
    <w:p>
      <w:pPr>
        <w:spacing w:before="312" w:beforeLines="100" w:line="180" w:lineRule="atLeast"/>
        <w:rPr>
          <w:rFonts w:ascii="黑体" w:hAnsi="宋体" w:eastAsia="黑体"/>
          <w:b/>
          <w:bCs/>
          <w:sz w:val="72"/>
          <w:szCs w:val="72"/>
        </w:rPr>
      </w:pPr>
      <w:bookmarkStart w:id="69" w:name="_GoBack"/>
      <w:r>
        <w:rPr>
          <w:rFonts w:hint="eastAsia" w:ascii="黑体" w:hAnsi="宋体" w:eastAsia="黑体"/>
          <w:b/>
          <w:bCs/>
          <w:sz w:val="72"/>
          <w:szCs w:val="72"/>
        </w:rPr>
        <w:t>公共建筑</w:t>
      </w: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采光达标率计算书</w:t>
      </w:r>
      <w:bookmarkEnd w:id="69"/>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ind w:firstLine="0" w:firstLineChars="0"/>
            </w:pPr>
            <w:r>
              <w:rPr>
                <w:rFonts w:hint="eastAsia"/>
              </w:rPr>
              <w:t>工程名称</w:t>
            </w:r>
          </w:p>
        </w:tc>
        <w:tc>
          <w:tcPr>
            <w:tcW w:w="3780" w:type="dxa"/>
          </w:tcPr>
          <w:p>
            <w:pPr>
              <w:pStyle w:val="3"/>
              <w:ind w:firstLine="0" w:firstLineChars="0"/>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设计编号</w:t>
            </w:r>
          </w:p>
        </w:tc>
        <w:tc>
          <w:tcPr>
            <w:tcW w:w="3780" w:type="dxa"/>
          </w:tcPr>
          <w:p>
            <w:pPr>
              <w:pStyle w:val="3"/>
              <w:ind w:firstLine="0" w:firstLineChars="0"/>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建设单位</w:t>
            </w:r>
          </w:p>
        </w:tc>
        <w:tc>
          <w:tcPr>
            <w:tcW w:w="3780" w:type="dxa"/>
          </w:tcPr>
          <w:p>
            <w:pPr>
              <w:pStyle w:val="3"/>
              <w:ind w:firstLine="0" w:firstLineChars="0"/>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设计单位</w:t>
            </w:r>
          </w:p>
        </w:tc>
        <w:tc>
          <w:tcPr>
            <w:tcW w:w="3780" w:type="dxa"/>
          </w:tcPr>
          <w:p>
            <w:pPr>
              <w:pStyle w:val="3"/>
              <w:ind w:firstLine="0" w:firstLineChars="0"/>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核 人</w:t>
            </w:r>
          </w:p>
        </w:tc>
        <w:tc>
          <w:tcPr>
            <w:tcW w:w="3780" w:type="dxa"/>
          </w:tcPr>
          <w:p>
            <w:pPr>
              <w:pStyle w:val="3"/>
              <w:ind w:firstLine="0" w:firstLineChars="0"/>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定 人</w:t>
            </w:r>
          </w:p>
        </w:tc>
        <w:tc>
          <w:tcPr>
            <w:tcW w:w="3780" w:type="dxa"/>
          </w:tcPr>
          <w:p>
            <w:pPr>
              <w:pStyle w:val="3"/>
              <w:ind w:firstLine="0" w:firstLineChars="0"/>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ind w:firstLine="0" w:firstLineChars="0"/>
            </w:pPr>
            <w:r>
              <w:rPr>
                <w:rFonts w:hint="eastAsia"/>
              </w:rPr>
              <w:t>计算日期</w:t>
            </w:r>
          </w:p>
        </w:tc>
        <w:tc>
          <w:tcPr>
            <w:tcW w:w="3780" w:type="dxa"/>
          </w:tcPr>
          <w:p>
            <w:pPr>
              <w:pStyle w:val="3"/>
              <w:ind w:firstLine="0" w:firstLineChars="0"/>
              <w:jc w:val="center"/>
            </w:pPr>
            <w:bookmarkStart w:id="6" w:name="计算日期"/>
            <w:r>
              <w:t>2022年1月4日</w:t>
            </w:r>
            <w:bookmarkEnd w:id="6"/>
          </w:p>
        </w:tc>
      </w:tr>
    </w:tbl>
    <w:p>
      <w:pPr>
        <w:rPr>
          <w:rFonts w:ascii="黑体" w:hAnsi="黑体" w:eastAsia="黑体"/>
          <w:b/>
          <w:bCs/>
          <w:sz w:val="28"/>
          <w:szCs w:val="28"/>
        </w:rPr>
      </w:pPr>
    </w:p>
    <w:p>
      <w:pPr>
        <w:rPr>
          <w:rFonts w:ascii="黑体" w:hAnsi="黑体" w:eastAsia="黑体"/>
          <w:b/>
          <w:bCs/>
          <w:sz w:val="30"/>
          <w:szCs w:val="32"/>
        </w:rPr>
      </w:pPr>
      <w:bookmarkStart w:id="7" w:name="二维码"/>
      <w:bookmarkEnd w:id="7"/>
      <w:r>
        <w:drawing>
          <wp:inline distT="0" distB="0" distL="0" distR="0">
            <wp:extent cx="2171700" cy="21717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rFonts w:ascii="黑体" w:hAnsi="黑体" w:eastAsia="黑体"/>
          <w:b/>
          <w:bCs/>
          <w:sz w:val="30"/>
          <w:szCs w:val="32"/>
        </w:rPr>
      </w:pPr>
    </w:p>
    <w:p>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3"/>
              <w:ind w:firstLine="0" w:firstLineChars="0"/>
            </w:pPr>
            <w:r>
              <w:rPr>
                <w:rFonts w:hint="eastAsia"/>
              </w:rPr>
              <w:t>采用软件</w:t>
            </w:r>
          </w:p>
        </w:tc>
        <w:tc>
          <w:tcPr>
            <w:tcW w:w="3780" w:type="dxa"/>
          </w:tcPr>
          <w:p>
            <w:pPr>
              <w:pStyle w:val="3"/>
              <w:ind w:firstLine="0" w:firstLineChars="0"/>
              <w:jc w:val="center"/>
            </w:pPr>
            <w:r>
              <w:rPr>
                <w:rFonts w:hint="eastAsia"/>
              </w:rPr>
              <w:t>绿建斯维尔采光分析DALI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ind w:firstLine="0" w:firstLineChars="0"/>
              <w:rPr>
                <w:szCs w:val="18"/>
              </w:rPr>
            </w:pPr>
            <w:r>
              <w:rPr>
                <w:rFonts w:hint="eastAsia"/>
                <w:szCs w:val="18"/>
              </w:rPr>
              <w:t>软件版本</w:t>
            </w:r>
          </w:p>
        </w:tc>
        <w:tc>
          <w:tcPr>
            <w:tcW w:w="3780" w:type="dxa"/>
          </w:tcPr>
          <w:p>
            <w:pPr>
              <w:pStyle w:val="3"/>
              <w:ind w:firstLine="0" w:firstLineChars="0"/>
              <w:jc w:val="center"/>
              <w:rPr>
                <w:szCs w:val="18"/>
              </w:rPr>
            </w:pPr>
            <w:bookmarkStart w:id="8" w:name="软件版本"/>
            <w:r>
              <w:rPr>
                <w:szCs w:val="18"/>
              </w:rPr>
              <w:t>20200808(SP1)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ind w:firstLine="0" w:firstLineChars="0"/>
              <w:rPr>
                <w:szCs w:val="18"/>
              </w:rPr>
            </w:pPr>
            <w:r>
              <w:rPr>
                <w:rFonts w:hint="eastAsia"/>
                <w:szCs w:val="18"/>
              </w:rPr>
              <w:t>研发单位</w:t>
            </w:r>
          </w:p>
        </w:tc>
        <w:tc>
          <w:tcPr>
            <w:tcW w:w="3780" w:type="dxa"/>
          </w:tcPr>
          <w:p>
            <w:pPr>
              <w:pStyle w:val="3"/>
              <w:ind w:firstLine="0" w:firstLineChars="0"/>
              <w:jc w:val="center"/>
              <w:rPr>
                <w:szCs w:val="18"/>
              </w:rPr>
            </w:pPr>
            <w:r>
              <w:rPr>
                <w:rFonts w:hint="eastAsia"/>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ind w:firstLine="0" w:firstLineChars="0"/>
              <w:rPr>
                <w:szCs w:val="18"/>
              </w:rPr>
            </w:pPr>
            <w:r>
              <w:rPr>
                <w:rFonts w:hint="eastAsia"/>
                <w:szCs w:val="18"/>
              </w:rPr>
              <w:t>正版授权码</w:t>
            </w:r>
          </w:p>
        </w:tc>
        <w:tc>
          <w:tcPr>
            <w:tcW w:w="3780" w:type="dxa"/>
          </w:tcPr>
          <w:p>
            <w:pPr>
              <w:pStyle w:val="3"/>
              <w:ind w:firstLine="0" w:firstLineChars="0"/>
              <w:jc w:val="center"/>
              <w:rPr>
                <w:szCs w:val="18"/>
              </w:rPr>
            </w:pPr>
            <w:bookmarkStart w:id="9" w:name="正版授权码"/>
            <w:r>
              <w:t>T15903265170</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pStyle w:val="3"/>
              <w:ind w:firstLine="0" w:firstLineChars="0"/>
              <w:rPr>
                <w:szCs w:val="18"/>
              </w:rPr>
            </w:pPr>
            <w:r>
              <w:rPr>
                <w:rFonts w:hint="eastAsia"/>
                <w:szCs w:val="18"/>
              </w:rPr>
              <w:t>服务热线</w:t>
            </w:r>
          </w:p>
        </w:tc>
        <w:tc>
          <w:tcPr>
            <w:tcW w:w="3780" w:type="dxa"/>
          </w:tcPr>
          <w:p>
            <w:pPr>
              <w:pStyle w:val="3"/>
              <w:ind w:firstLine="0" w:firstLineChars="0"/>
              <w:jc w:val="center"/>
              <w:rPr>
                <w:szCs w:val="18"/>
              </w:rPr>
            </w:pPr>
            <w:r>
              <w:rPr>
                <w:rFonts w:hint="eastAsia"/>
                <w:color w:val="000000"/>
                <w:shd w:val="clear" w:color="auto" w:fill="FFFFFF"/>
              </w:rPr>
              <w:t>400-094-1228</w:t>
            </w:r>
          </w:p>
        </w:tc>
      </w:tr>
    </w:tbl>
    <w:p>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rPr>
          <w:sz w:val="28"/>
          <w:szCs w:val="28"/>
        </w:rPr>
      </w:pPr>
      <w:bookmarkStart w:id="10" w:name="目录"/>
      <w:r>
        <w:rPr>
          <w:rFonts w:hint="eastAsia"/>
          <w:sz w:val="28"/>
          <w:szCs w:val="28"/>
        </w:rPr>
        <w:t>目  录</w:t>
      </w:r>
    </w:p>
    <w:p>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_Toc19657 </w:instrText>
      </w:r>
      <w:r>
        <w:rPr>
          <w:szCs w:val="28"/>
        </w:rPr>
        <w:fldChar w:fldCharType="separate"/>
      </w:r>
      <w:r>
        <w:rPr>
          <w:rFonts w:hint="eastAsia"/>
        </w:rPr>
        <w:t>1. 项目概况</w:t>
      </w:r>
      <w:r>
        <w:tab/>
      </w:r>
      <w:r>
        <w:fldChar w:fldCharType="begin"/>
      </w:r>
      <w:r>
        <w:instrText xml:space="preserve"> PAGEREF _Toc19657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_Toc15143 </w:instrText>
      </w:r>
      <w:r>
        <w:rPr>
          <w:szCs w:val="28"/>
        </w:rPr>
        <w:fldChar w:fldCharType="separate"/>
      </w:r>
      <w:r>
        <w:rPr>
          <w:rFonts w:hint="eastAsia"/>
        </w:rPr>
        <w:t>2. 分析目的</w:t>
      </w:r>
      <w:r>
        <w:tab/>
      </w:r>
      <w:r>
        <w:fldChar w:fldCharType="begin"/>
      </w:r>
      <w:r>
        <w:instrText xml:space="preserve"> PAGEREF _Toc15143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_Toc20987 </w:instrText>
      </w:r>
      <w:r>
        <w:rPr>
          <w:szCs w:val="28"/>
        </w:rPr>
        <w:fldChar w:fldCharType="separate"/>
      </w:r>
      <w:r>
        <w:rPr>
          <w:rFonts w:hint="eastAsia"/>
        </w:rPr>
        <w:t>3. 分析依据</w:t>
      </w:r>
      <w:r>
        <w:tab/>
      </w:r>
      <w:r>
        <w:fldChar w:fldCharType="begin"/>
      </w:r>
      <w:r>
        <w:instrText xml:space="preserve"> PAGEREF _Toc20987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_Toc28197 </w:instrText>
      </w:r>
      <w:r>
        <w:rPr>
          <w:szCs w:val="28"/>
        </w:rPr>
        <w:fldChar w:fldCharType="separate"/>
      </w:r>
      <w:r>
        <w:rPr>
          <w:rFonts w:hint="eastAsia"/>
          <w:lang w:val="en-GB"/>
        </w:rPr>
        <w:t xml:space="preserve">3.1 </w:t>
      </w:r>
      <w:r>
        <w:rPr>
          <w:rFonts w:hint="eastAsia"/>
        </w:rPr>
        <w:t>标准依据</w:t>
      </w:r>
      <w:r>
        <w:tab/>
      </w:r>
      <w:r>
        <w:fldChar w:fldCharType="begin"/>
      </w:r>
      <w:r>
        <w:instrText xml:space="preserve"> PAGEREF _Toc28197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_Toc9324 </w:instrText>
      </w:r>
      <w:r>
        <w:rPr>
          <w:szCs w:val="28"/>
        </w:rPr>
        <w:fldChar w:fldCharType="separate"/>
      </w:r>
      <w:r>
        <w:rPr>
          <w:rFonts w:hint="eastAsia"/>
          <w:lang w:val="en-GB"/>
        </w:rPr>
        <w:t xml:space="preserve">3.2 </w:t>
      </w:r>
      <w:r>
        <w:rPr>
          <w:rFonts w:hint="eastAsia"/>
        </w:rPr>
        <w:t>标准要求</w:t>
      </w:r>
      <w:r>
        <w:tab/>
      </w:r>
      <w:r>
        <w:fldChar w:fldCharType="begin"/>
      </w:r>
      <w:r>
        <w:instrText xml:space="preserve"> PAGEREF _Toc9324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_Toc6965 </w:instrText>
      </w:r>
      <w:r>
        <w:rPr>
          <w:szCs w:val="28"/>
        </w:rPr>
        <w:fldChar w:fldCharType="separate"/>
      </w:r>
      <w:r>
        <w:rPr>
          <w:rFonts w:hint="eastAsia"/>
        </w:rPr>
        <w:t>4. 应用软件与计算方法</w:t>
      </w:r>
      <w:r>
        <w:tab/>
      </w:r>
      <w:r>
        <w:fldChar w:fldCharType="begin"/>
      </w:r>
      <w:r>
        <w:instrText xml:space="preserve"> PAGEREF _Toc6965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_Toc31790 </w:instrText>
      </w:r>
      <w:r>
        <w:rPr>
          <w:szCs w:val="28"/>
        </w:rPr>
        <w:fldChar w:fldCharType="separate"/>
      </w:r>
      <w:r>
        <w:rPr>
          <w:rFonts w:hint="eastAsia"/>
          <w:lang w:val="en-GB"/>
        </w:rPr>
        <w:t xml:space="preserve">4.1 </w:t>
      </w:r>
      <w:r>
        <w:t>软件</w:t>
      </w:r>
      <w:r>
        <w:rPr>
          <w:rFonts w:hint="eastAsia"/>
        </w:rPr>
        <w:t>选用</w:t>
      </w:r>
      <w:r>
        <w:tab/>
      </w:r>
      <w:r>
        <w:fldChar w:fldCharType="begin"/>
      </w:r>
      <w:r>
        <w:instrText xml:space="preserve"> PAGEREF _Toc31790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_Toc4791 </w:instrText>
      </w:r>
      <w:r>
        <w:rPr>
          <w:szCs w:val="28"/>
        </w:rPr>
        <w:fldChar w:fldCharType="separate"/>
      </w:r>
      <w:r>
        <w:rPr>
          <w:rFonts w:hint="eastAsia"/>
          <w:lang w:val="en-GB"/>
        </w:rPr>
        <w:t xml:space="preserve">4.2 </w:t>
      </w:r>
      <w:r>
        <w:rPr>
          <w:rFonts w:hint="eastAsia"/>
        </w:rPr>
        <w:t>计算原理</w:t>
      </w:r>
      <w:r>
        <w:tab/>
      </w:r>
      <w:r>
        <w:fldChar w:fldCharType="begin"/>
      </w:r>
      <w:r>
        <w:instrText xml:space="preserve"> PAGEREF _Toc4791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_Toc18030 </w:instrText>
      </w:r>
      <w:r>
        <w:rPr>
          <w:szCs w:val="28"/>
        </w:rPr>
        <w:fldChar w:fldCharType="separate"/>
      </w:r>
      <w:r>
        <w:rPr>
          <w:rFonts w:hint="eastAsia"/>
          <w:lang w:val="en-GB"/>
        </w:rPr>
        <w:t xml:space="preserve">4.3 </w:t>
      </w:r>
      <w:r>
        <w:rPr>
          <w:rFonts w:hint="eastAsia"/>
        </w:rPr>
        <w:t>计算方法</w:t>
      </w:r>
      <w:r>
        <w:tab/>
      </w:r>
      <w:r>
        <w:fldChar w:fldCharType="begin"/>
      </w:r>
      <w:r>
        <w:instrText xml:space="preserve"> PAGEREF _Toc18030 </w:instrText>
      </w:r>
      <w:r>
        <w:fldChar w:fldCharType="separate"/>
      </w:r>
      <w:r>
        <w:t>5</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_Toc6726 </w:instrText>
      </w:r>
      <w:r>
        <w:rPr>
          <w:szCs w:val="28"/>
        </w:rPr>
        <w:fldChar w:fldCharType="separate"/>
      </w:r>
      <w:r>
        <w:rPr>
          <w:rFonts w:hint="eastAsia"/>
        </w:rPr>
        <w:t>5. 计算参数选用</w:t>
      </w:r>
      <w:r>
        <w:tab/>
      </w:r>
      <w:r>
        <w:fldChar w:fldCharType="begin"/>
      </w:r>
      <w:r>
        <w:instrText xml:space="preserve"> PAGEREF _Toc6726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_Toc4852 </w:instrText>
      </w:r>
      <w:r>
        <w:rPr>
          <w:szCs w:val="28"/>
        </w:rPr>
        <w:fldChar w:fldCharType="separate"/>
      </w:r>
      <w:r>
        <w:rPr>
          <w:rFonts w:hint="eastAsia"/>
          <w:lang w:val="en-GB"/>
        </w:rPr>
        <w:t xml:space="preserve">5.1 </w:t>
      </w:r>
      <w:r>
        <w:rPr>
          <w:rFonts w:hint="eastAsia"/>
        </w:rPr>
        <w:t>模拟条件</w:t>
      </w:r>
      <w:r>
        <w:tab/>
      </w:r>
      <w:r>
        <w:fldChar w:fldCharType="begin"/>
      </w:r>
      <w:r>
        <w:instrText xml:space="preserve"> PAGEREF _Toc4852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_Toc18620 </w:instrText>
      </w:r>
      <w:r>
        <w:rPr>
          <w:szCs w:val="28"/>
        </w:rPr>
        <w:fldChar w:fldCharType="separate"/>
      </w:r>
      <w:r>
        <w:rPr>
          <w:rFonts w:hint="eastAsia"/>
          <w:lang w:val="en-GB"/>
        </w:rPr>
        <w:t xml:space="preserve">5.2 </w:t>
      </w:r>
      <w:r>
        <w:rPr>
          <w:rFonts w:hint="eastAsia"/>
        </w:rPr>
        <w:t>建筑饰面材料参数</w:t>
      </w:r>
      <w:r>
        <w:tab/>
      </w:r>
      <w:r>
        <w:fldChar w:fldCharType="begin"/>
      </w:r>
      <w:r>
        <w:instrText xml:space="preserve"> PAGEREF _Toc18620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_Toc4762 </w:instrText>
      </w:r>
      <w:r>
        <w:rPr>
          <w:szCs w:val="28"/>
        </w:rPr>
        <w:fldChar w:fldCharType="separate"/>
      </w:r>
      <w:r>
        <w:rPr>
          <w:rFonts w:hint="eastAsia"/>
          <w:lang w:val="en-GB"/>
        </w:rPr>
        <w:t xml:space="preserve">5.3 </w:t>
      </w:r>
      <w:r>
        <w:rPr>
          <w:rFonts w:hint="eastAsia"/>
        </w:rPr>
        <w:t>门窗类型参数</w:t>
      </w:r>
      <w:r>
        <w:tab/>
      </w:r>
      <w:r>
        <w:fldChar w:fldCharType="begin"/>
      </w:r>
      <w:r>
        <w:instrText xml:space="preserve"> PAGEREF _Toc4762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_Toc21324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_Toc21324 </w:instrText>
      </w:r>
      <w:r>
        <w:fldChar w:fldCharType="separate"/>
      </w:r>
      <w:r>
        <w:t>6</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_Toc22152 </w:instrText>
      </w:r>
      <w:r>
        <w:rPr>
          <w:szCs w:val="28"/>
        </w:rPr>
        <w:fldChar w:fldCharType="separate"/>
      </w:r>
      <w:r>
        <w:rPr>
          <w:rFonts w:hint="eastAsia"/>
        </w:rPr>
        <w:t>6. 采光</w:t>
      </w:r>
      <w:r>
        <w:t>效果分析</w:t>
      </w:r>
      <w:r>
        <w:rPr>
          <w:rFonts w:hint="eastAsia"/>
        </w:rPr>
        <w:t>彩图</w:t>
      </w:r>
      <w:r>
        <w:tab/>
      </w:r>
      <w:r>
        <w:fldChar w:fldCharType="begin"/>
      </w:r>
      <w:r>
        <w:instrText xml:space="preserve"> PAGEREF _Toc22152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_Toc23631 </w:instrText>
      </w:r>
      <w:r>
        <w:rPr>
          <w:szCs w:val="28"/>
        </w:rPr>
        <w:fldChar w:fldCharType="separate"/>
      </w:r>
      <w:r>
        <w:rPr>
          <w:rFonts w:hint="eastAsia"/>
        </w:rPr>
        <w:t>7. 采光达标</w:t>
      </w:r>
      <w:r>
        <w:t>率</w:t>
      </w:r>
      <w:r>
        <w:rPr>
          <w:rFonts w:hint="eastAsia"/>
        </w:rPr>
        <w:t>统计</w:t>
      </w:r>
      <w:r>
        <w:tab/>
      </w:r>
      <w:r>
        <w:fldChar w:fldCharType="begin"/>
      </w:r>
      <w:r>
        <w:instrText xml:space="preserve"> PAGEREF _Toc23631 </w:instrText>
      </w:r>
      <w:r>
        <w:fldChar w:fldCharType="separate"/>
      </w:r>
      <w:r>
        <w:t>11</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_Toc15924 </w:instrText>
      </w:r>
      <w:r>
        <w:rPr>
          <w:szCs w:val="28"/>
        </w:rPr>
        <w:fldChar w:fldCharType="separate"/>
      </w:r>
      <w:r>
        <w:rPr>
          <w:rFonts w:hint="eastAsia"/>
        </w:rPr>
        <w:t>8. 达标率彩图</w:t>
      </w:r>
      <w:r>
        <w:tab/>
      </w:r>
      <w:r>
        <w:fldChar w:fldCharType="begin"/>
      </w:r>
      <w:r>
        <w:instrText xml:space="preserve"> PAGEREF _Toc15924 </w:instrText>
      </w:r>
      <w:r>
        <w:fldChar w:fldCharType="separate"/>
      </w:r>
      <w:r>
        <w:t>12</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_Toc6600 </w:instrText>
      </w:r>
      <w:r>
        <w:rPr>
          <w:szCs w:val="28"/>
        </w:rPr>
        <w:fldChar w:fldCharType="separate"/>
      </w:r>
      <w:r>
        <w:rPr>
          <w:rFonts w:hint="eastAsia"/>
        </w:rPr>
        <w:t>9. 评价结论</w:t>
      </w:r>
      <w:r>
        <w:tab/>
      </w:r>
      <w:r>
        <w:fldChar w:fldCharType="begin"/>
      </w:r>
      <w:r>
        <w:instrText xml:space="preserve"> PAGEREF _Toc6600 </w:instrText>
      </w:r>
      <w:r>
        <w:fldChar w:fldCharType="separate"/>
      </w:r>
      <w:r>
        <w:t>16</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0"/>
    </w:p>
    <w:p>
      <w:pPr>
        <w:pStyle w:val="2"/>
        <w:ind w:left="432" w:hanging="432"/>
      </w:pPr>
      <w:bookmarkStart w:id="11" w:name="_Toc19657"/>
      <w:r>
        <w:rPr>
          <w:rFonts w:hint="eastAsia"/>
        </w:rPr>
        <w:t>项目概况</w:t>
      </w:r>
      <w:bookmarkEnd w:id="11"/>
    </w:p>
    <w:tbl>
      <w:tblPr>
        <w:tblStyle w:val="22"/>
        <w:tblpPr w:leftFromText="180" w:rightFromText="180" w:vertAnchor="text" w:horzAnchor="margin" w:tblpXSpec="right" w:tblpY="15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6"/>
        <w:gridCol w:w="21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lang w:val="en-US"/>
              </w:rPr>
            </w:pPr>
            <w:r>
              <w:rPr>
                <w:rFonts w:hint="eastAsia"/>
                <w:lang w:val="en-US"/>
              </w:rPr>
              <w:t>项目</w:t>
            </w:r>
            <w:r>
              <w:rPr>
                <w:lang w:val="en-US"/>
              </w:rPr>
              <w:t>所在地</w:t>
            </w:r>
          </w:p>
        </w:tc>
        <w:tc>
          <w:tcPr>
            <w:tcW w:w="6447" w:type="dxa"/>
            <w:gridSpan w:val="3"/>
          </w:tcPr>
          <w:p>
            <w:pPr>
              <w:pStyle w:val="3"/>
              <w:ind w:firstLine="0" w:firstLineChars="0"/>
              <w:rPr>
                <w:lang w:val="en-US"/>
              </w:rPr>
            </w:pPr>
            <w:bookmarkStart w:id="12" w:name="项目地点"/>
            <w:r>
              <w:rPr>
                <w:rFonts w:hint="eastAsia"/>
                <w:lang w:val="en-US"/>
              </w:rPr>
              <w:t>三亚</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lang w:val="en-US"/>
              </w:rPr>
            </w:pPr>
            <w:r>
              <w:rPr>
                <w:rFonts w:hint="eastAsia"/>
                <w:lang w:val="en-US"/>
              </w:rPr>
              <w:t>光气候分区</w:t>
            </w:r>
          </w:p>
        </w:tc>
        <w:tc>
          <w:tcPr>
            <w:tcW w:w="2624" w:type="dxa"/>
          </w:tcPr>
          <w:p>
            <w:pPr>
              <w:pStyle w:val="3"/>
              <w:ind w:firstLine="0" w:firstLineChars="0"/>
              <w:rPr>
                <w:lang w:val="en-US"/>
              </w:rPr>
            </w:pPr>
            <w:bookmarkStart w:id="13" w:name="光气候分区"/>
            <w:r>
              <w:t>III</w:t>
            </w:r>
            <w:bookmarkEnd w:id="13"/>
          </w:p>
        </w:tc>
        <w:tc>
          <w:tcPr>
            <w:tcW w:w="1758" w:type="dxa"/>
            <w:shd w:val="clear" w:color="auto" w:fill="E0E0E0"/>
          </w:tcPr>
          <w:p>
            <w:pPr>
              <w:pStyle w:val="3"/>
              <w:ind w:firstLine="0" w:firstLineChars="0"/>
              <w:rPr>
                <w:lang w:val="en-US"/>
              </w:rPr>
            </w:pPr>
            <w:r>
              <w:rPr>
                <w:rFonts w:hint="eastAsia"/>
                <w:lang w:val="en-US"/>
              </w:rPr>
              <w:t>光气候系数K</w:t>
            </w:r>
          </w:p>
        </w:tc>
        <w:tc>
          <w:tcPr>
            <w:tcW w:w="2065" w:type="dxa"/>
          </w:tcPr>
          <w:p>
            <w:pPr>
              <w:pStyle w:val="3"/>
              <w:ind w:firstLine="0" w:firstLineChars="0"/>
              <w:rPr>
                <w:lang w:val="en-US"/>
              </w:rPr>
            </w:pPr>
            <w:bookmarkStart w:id="14" w:name="光气候系数K"/>
            <w:r>
              <w:t>1.00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lang w:val="en-US"/>
              </w:rPr>
            </w:pPr>
            <w:r>
              <w:rPr>
                <w:rFonts w:hint="eastAsia"/>
                <w:lang w:val="en-US"/>
              </w:rPr>
              <w:t>建筑面积</w:t>
            </w:r>
          </w:p>
        </w:tc>
        <w:tc>
          <w:tcPr>
            <w:tcW w:w="6447" w:type="dxa"/>
            <w:gridSpan w:val="3"/>
          </w:tcPr>
          <w:p>
            <w:pPr>
              <w:pStyle w:val="3"/>
              <w:ind w:firstLine="0" w:firstLineChars="0"/>
              <w:rPr>
                <w:lang w:val="en-US"/>
              </w:rPr>
            </w:pPr>
            <w:r>
              <w:rPr>
                <w:rFonts w:hint="eastAsia"/>
                <w:lang w:val="en-US"/>
              </w:rPr>
              <w:t xml:space="preserve">地上  </w:t>
            </w:r>
            <w:bookmarkStart w:id="15" w:name="地上建筑面积"/>
            <w:r>
              <w:t>2712.78</w:t>
            </w:r>
            <w:bookmarkEnd w:id="15"/>
            <w:r>
              <w:rPr>
                <w:rFonts w:hint="eastAsia"/>
              </w:rPr>
              <w:t>㎡</w:t>
            </w:r>
            <w:r>
              <w:rPr>
                <w:rFonts w:hint="eastAsia"/>
                <w:lang w:val="en-US"/>
              </w:rPr>
              <w:t xml:space="preserve">    地下  </w:t>
            </w:r>
            <w:bookmarkStart w:id="16" w:name="地下建筑面积"/>
            <w:r>
              <w:t>0.00</w:t>
            </w:r>
            <w:bookmarkEnd w:id="16"/>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lang w:val="en-US"/>
              </w:rPr>
            </w:pPr>
            <w:r>
              <w:rPr>
                <w:rFonts w:hint="eastAsia"/>
                <w:lang w:val="en-US"/>
              </w:rPr>
              <w:t>建筑层数</w:t>
            </w:r>
          </w:p>
        </w:tc>
        <w:tc>
          <w:tcPr>
            <w:tcW w:w="6447" w:type="dxa"/>
            <w:gridSpan w:val="3"/>
          </w:tcPr>
          <w:p>
            <w:pPr>
              <w:pStyle w:val="3"/>
              <w:ind w:firstLine="0" w:firstLineChars="0"/>
              <w:rPr>
                <w:lang w:val="en-US"/>
              </w:rPr>
            </w:pPr>
            <w:r>
              <w:rPr>
                <w:rFonts w:hint="eastAsia"/>
                <w:lang w:val="en-US"/>
              </w:rPr>
              <w:t xml:space="preserve">地上  </w:t>
            </w:r>
            <w:bookmarkStart w:id="17" w:name="地上建筑层数"/>
            <w:r>
              <w:t>5</w:t>
            </w:r>
            <w:bookmarkEnd w:id="17"/>
            <w:r>
              <w:rPr>
                <w:rFonts w:hint="eastAsia"/>
                <w:lang w:val="en-US"/>
              </w:rPr>
              <w:t xml:space="preserve">          地下 </w:t>
            </w:r>
            <w:bookmarkStart w:id="18" w:name="地下建筑层数"/>
            <w: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lang w:val="en-US"/>
              </w:rPr>
            </w:pPr>
            <w:r>
              <w:rPr>
                <w:rFonts w:hint="eastAsia"/>
                <w:lang w:val="en-US"/>
              </w:rPr>
              <w:t>建筑高度</w:t>
            </w:r>
          </w:p>
        </w:tc>
        <w:tc>
          <w:tcPr>
            <w:tcW w:w="6447" w:type="dxa"/>
            <w:gridSpan w:val="3"/>
          </w:tcPr>
          <w:p>
            <w:pPr>
              <w:pStyle w:val="3"/>
              <w:ind w:firstLine="0" w:firstLineChars="0"/>
              <w:rPr>
                <w:lang w:val="en-US"/>
              </w:rPr>
            </w:pPr>
            <w:r>
              <w:rPr>
                <w:rFonts w:hint="eastAsia"/>
                <w:lang w:val="en-US"/>
              </w:rPr>
              <w:t xml:space="preserve">地上 </w:t>
            </w:r>
            <w:bookmarkStart w:id="19" w:name="地上建筑高度"/>
            <w:r>
              <w:t>22.00</w:t>
            </w:r>
            <w:bookmarkEnd w:id="19"/>
            <w:r>
              <w:rPr>
                <w:rFonts w:hint="eastAsia"/>
                <w:lang w:val="en-US"/>
              </w:rPr>
              <w:t xml:space="preserve"> m     地下  </w:t>
            </w:r>
            <w:bookmarkStart w:id="20" w:name="地下建筑高度"/>
            <w:r>
              <w:t>0.00</w:t>
            </w:r>
            <w:bookmarkEnd w:id="20"/>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lang w:val="en-US"/>
              </w:rPr>
            </w:pPr>
            <w:r>
              <w:rPr>
                <w:rFonts w:hint="eastAsia"/>
              </w:rPr>
              <w:t>备注</w:t>
            </w:r>
          </w:p>
        </w:tc>
        <w:tc>
          <w:tcPr>
            <w:tcW w:w="6447" w:type="dxa"/>
            <w:gridSpan w:val="3"/>
          </w:tcPr>
          <w:p>
            <w:pPr>
              <w:pStyle w:val="3"/>
              <w:ind w:firstLine="0" w:firstLineChars="0"/>
              <w:rPr>
                <w:lang w:val="en-US"/>
              </w:rPr>
            </w:pPr>
            <w:bookmarkStart w:id="21" w:name="备注"/>
            <w:bookmarkEnd w:id="21"/>
          </w:p>
        </w:tc>
      </w:tr>
    </w:tbl>
    <w:p>
      <w:pPr>
        <w:pStyle w:val="3"/>
        <w:ind w:firstLine="420"/>
        <w:rPr>
          <w:lang w:val="en-US"/>
        </w:rPr>
      </w:pPr>
    </w:p>
    <w:p>
      <w:pPr>
        <w:pStyle w:val="3"/>
        <w:ind w:firstLine="0" w:firstLineChars="0"/>
        <w:jc w:val="center"/>
        <w:rPr>
          <w:rFonts w:ascii="黑体" w:hAnsi="黑体" w:eastAsia="黑体"/>
          <w:sz w:val="18"/>
          <w:lang w:val="en-US"/>
        </w:rPr>
      </w:pPr>
    </w:p>
    <w:p>
      <w:pPr>
        <w:pStyle w:val="2"/>
        <w:ind w:left="432" w:hanging="432"/>
      </w:pPr>
      <w:bookmarkStart w:id="22" w:name="_Toc15143"/>
      <w:r>
        <w:rPr>
          <w:rFonts w:hint="eastAsia"/>
        </w:rPr>
        <w:t>分析目的</w:t>
      </w:r>
      <w:bookmarkEnd w:id="22"/>
    </w:p>
    <w:p>
      <w:pPr>
        <w:ind w:firstLine="420" w:firstLineChars="200"/>
        <w:jc w:val="left"/>
        <w:rPr>
          <w:sz w:val="21"/>
          <w:szCs w:val="21"/>
        </w:rPr>
      </w:pPr>
      <w:r>
        <w:rPr>
          <w:rFonts w:hint="eastAsia"/>
          <w:sz w:val="21"/>
          <w:szCs w:val="21"/>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ind w:left="432" w:hanging="432"/>
      </w:pPr>
      <w:bookmarkStart w:id="23" w:name="_Toc20987"/>
      <w:r>
        <w:rPr>
          <w:rFonts w:hint="eastAsia"/>
        </w:rPr>
        <w:t>分析依据</w:t>
      </w:r>
      <w:bookmarkEnd w:id="23"/>
    </w:p>
    <w:p>
      <w:pPr>
        <w:pStyle w:val="4"/>
      </w:pPr>
      <w:bookmarkStart w:id="24" w:name="_Toc28197"/>
      <w:r>
        <w:rPr>
          <w:rFonts w:hint="eastAsia"/>
        </w:rPr>
        <w:t>标准依据</w:t>
      </w:r>
      <w:bookmarkEnd w:id="24"/>
    </w:p>
    <w:p>
      <w:pPr>
        <w:pStyle w:val="39"/>
        <w:numPr>
          <w:ilvl w:val="0"/>
          <w:numId w:val="2"/>
        </w:numPr>
        <w:ind w:firstLineChars="0"/>
        <w:jc w:val="left"/>
        <w:rPr>
          <w:sz w:val="21"/>
          <w:szCs w:val="21"/>
          <w:lang w:val="en-US"/>
        </w:rPr>
      </w:pPr>
      <w:r>
        <w:rPr>
          <w:sz w:val="21"/>
          <w:szCs w:val="21"/>
          <w:lang w:val="en-US"/>
        </w:rPr>
        <w:t>《绿色建筑评价标准》GB/T 50378-2014</w:t>
      </w:r>
    </w:p>
    <w:p>
      <w:pPr>
        <w:pStyle w:val="39"/>
        <w:numPr>
          <w:ilvl w:val="0"/>
          <w:numId w:val="2"/>
        </w:numPr>
        <w:ind w:firstLineChars="0"/>
        <w:jc w:val="left"/>
        <w:rPr>
          <w:sz w:val="21"/>
          <w:szCs w:val="21"/>
          <w:lang w:val="en-US"/>
        </w:rPr>
      </w:pPr>
      <w:r>
        <w:rPr>
          <w:sz w:val="21"/>
          <w:szCs w:val="21"/>
          <w:lang w:val="en-US"/>
        </w:rPr>
        <w:t>《建筑采光设计标准》GB 5003-2013</w:t>
      </w:r>
    </w:p>
    <w:p>
      <w:pPr>
        <w:pStyle w:val="39"/>
        <w:numPr>
          <w:ilvl w:val="0"/>
          <w:numId w:val="2"/>
        </w:numPr>
        <w:ind w:firstLineChars="0"/>
        <w:jc w:val="left"/>
        <w:rPr>
          <w:sz w:val="21"/>
          <w:szCs w:val="21"/>
          <w:lang w:val="en-US"/>
        </w:rPr>
      </w:pPr>
      <w:r>
        <w:rPr>
          <w:sz w:val="21"/>
          <w:szCs w:val="21"/>
          <w:lang w:val="en-US"/>
        </w:rPr>
        <w:t>《采光测量方法》</w:t>
      </w:r>
      <w:r>
        <w:rPr>
          <w:kern w:val="2"/>
          <w:sz w:val="21"/>
          <w:szCs w:val="21"/>
          <w:lang w:val="en-US"/>
        </w:rPr>
        <w:t>GB/T5699-2017</w:t>
      </w:r>
    </w:p>
    <w:p>
      <w:pPr>
        <w:pStyle w:val="4"/>
      </w:pPr>
      <w:bookmarkStart w:id="25" w:name="_Toc9324"/>
      <w:r>
        <w:rPr>
          <w:rFonts w:hint="eastAsia"/>
        </w:rPr>
        <w:t>标准要求</w:t>
      </w:r>
      <w:bookmarkEnd w:id="25"/>
    </w:p>
    <w:p>
      <w:pPr>
        <w:pStyle w:val="3"/>
        <w:spacing w:line="360" w:lineRule="auto"/>
        <w:ind w:firstLine="420"/>
        <w:rPr>
          <w:lang w:val="en-US"/>
        </w:rPr>
      </w:pPr>
      <w:r>
        <w:rPr>
          <w:rFonts w:hint="eastAsia"/>
          <w:lang w:val="en-US"/>
        </w:rPr>
        <w:t xml:space="preserve">■ </w:t>
      </w:r>
      <w:r>
        <w:rPr>
          <w:rFonts w:hint="eastAsia"/>
          <w:b/>
          <w:lang w:val="en-US"/>
        </w:rPr>
        <w:t>《绿色建筑评价标准》GB/T 50378-2014</w:t>
      </w:r>
    </w:p>
    <w:p>
      <w:pPr>
        <w:ind w:left="360" w:leftChars="200"/>
        <w:jc w:val="left"/>
        <w:rPr>
          <w:sz w:val="21"/>
          <w:szCs w:val="21"/>
          <w:lang w:val="en-US"/>
        </w:rPr>
      </w:pPr>
      <w:r>
        <w:rPr>
          <w:rFonts w:hint="eastAsia"/>
          <w:sz w:val="21"/>
          <w:szCs w:val="21"/>
          <w:lang w:val="en-US"/>
        </w:rPr>
        <w:t xml:space="preserve">8.2.6 </w:t>
      </w:r>
      <w:r>
        <w:rPr>
          <w:rFonts w:hint="eastAsia"/>
          <w:sz w:val="21"/>
          <w:szCs w:val="21"/>
        </w:rPr>
        <w:t>主要功能房间的采光系数满足现行国家标准《建筑采光设计标准》GB 50033的要求，评价总分值为8分，对于公共建筑提出面积比例的要求，具体评分规则如下：</w:t>
      </w:r>
    </w:p>
    <w:p>
      <w:pPr>
        <w:ind w:left="360" w:leftChars="200"/>
        <w:jc w:val="left"/>
        <w:rPr>
          <w:sz w:val="21"/>
          <w:szCs w:val="21"/>
        </w:rPr>
      </w:pPr>
      <w:r>
        <w:rPr>
          <w:rFonts w:hint="eastAsia"/>
          <w:sz w:val="21"/>
          <w:szCs w:val="21"/>
        </w:rPr>
        <w:t>2</w:t>
      </w:r>
      <w:r>
        <w:rPr>
          <w:sz w:val="21"/>
          <w:szCs w:val="21"/>
        </w:rPr>
        <w:t xml:space="preserve"> </w:t>
      </w:r>
      <w:r>
        <w:rPr>
          <w:rFonts w:hint="eastAsia"/>
          <w:sz w:val="21"/>
          <w:szCs w:val="21"/>
        </w:rPr>
        <w:t>公共建筑：根据主要功能房间采光系数满足现行国家标准《建筑采光设计标准》GB 50033要求得面积比例，按表8.2.6的规则评分，最高得8分。</w:t>
      </w:r>
    </w:p>
    <w:p>
      <w:pPr>
        <w:pStyle w:val="39"/>
        <w:spacing w:line="420" w:lineRule="auto"/>
        <w:ind w:left="902" w:hanging="420" w:firstLineChars="0"/>
        <w:rPr>
          <w:sz w:val="21"/>
          <w:szCs w:val="21"/>
        </w:rPr>
      </w:pPr>
      <w:r>
        <w:rPr>
          <w:rFonts w:hint="eastAsia"/>
          <w:sz w:val="21"/>
          <w:szCs w:val="21"/>
        </w:rPr>
        <w:t>表8</w:t>
      </w:r>
      <w:r>
        <w:rPr>
          <w:sz w:val="21"/>
          <w:szCs w:val="21"/>
        </w:rPr>
        <w:t>.</w:t>
      </w:r>
      <w:r>
        <w:rPr>
          <w:rFonts w:hint="eastAsia"/>
          <w:sz w:val="21"/>
          <w:szCs w:val="21"/>
        </w:rPr>
        <w:t>2</w:t>
      </w:r>
      <w:r>
        <w:rPr>
          <w:sz w:val="21"/>
          <w:szCs w:val="21"/>
        </w:rPr>
        <w:t>.</w:t>
      </w:r>
      <w:r>
        <w:rPr>
          <w:rFonts w:hint="eastAsia"/>
          <w:sz w:val="21"/>
          <w:szCs w:val="21"/>
        </w:rPr>
        <w:t>6</w:t>
      </w:r>
      <w:r>
        <w:rPr>
          <w:sz w:val="21"/>
          <w:szCs w:val="21"/>
        </w:rPr>
        <w:t xml:space="preserve">  </w:t>
      </w:r>
      <w:r>
        <w:rPr>
          <w:rFonts w:hint="eastAsia"/>
          <w:sz w:val="21"/>
          <w:szCs w:val="21"/>
        </w:rPr>
        <w:t>公共建筑主要功能房间采光评分规则</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380"/>
        <w:gridCol w:w="41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80" w:type="dxa"/>
            <w:vAlign w:val="center"/>
          </w:tcPr>
          <w:p>
            <w:pPr>
              <w:pStyle w:val="3"/>
              <w:ind w:firstLine="420"/>
              <w:jc w:val="center"/>
              <w:rPr>
                <w:kern w:val="2"/>
              </w:rPr>
            </w:pPr>
            <w:bookmarkStart w:id="26" w:name="达标率评分规则" w:colFirst="0" w:colLast="2"/>
            <w:r>
              <w:rPr>
                <w:rFonts w:hint="eastAsia"/>
              </w:rPr>
              <w:t>面积比例R</w:t>
            </w:r>
            <w:r>
              <w:rPr>
                <w:rFonts w:hint="eastAsia"/>
                <w:szCs w:val="24"/>
                <w:vertAlign w:val="subscript"/>
              </w:rPr>
              <w:t>A</w:t>
            </w:r>
          </w:p>
        </w:tc>
        <w:tc>
          <w:tcPr>
            <w:tcW w:w="4142" w:type="dxa"/>
            <w:vAlign w:val="center"/>
          </w:tcPr>
          <w:p>
            <w:pPr>
              <w:pStyle w:val="3"/>
              <w:ind w:firstLine="420"/>
              <w:jc w:val="center"/>
              <w:rPr>
                <w:kern w:val="2"/>
              </w:rPr>
            </w:pPr>
            <w:r>
              <w:rPr>
                <w:rFonts w:hint="eastAsia"/>
              </w:rPr>
              <w:t>得  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380" w:type="dxa"/>
            <w:vAlign w:val="center"/>
          </w:tcPr>
          <w:p>
            <w:pPr>
              <w:pStyle w:val="3"/>
              <w:ind w:firstLine="420"/>
              <w:jc w:val="center"/>
            </w:pPr>
            <w:r>
              <w:rPr>
                <w:rFonts w:hint="eastAsia"/>
              </w:rPr>
              <w:t>60%≤R</w:t>
            </w:r>
            <w:r>
              <w:rPr>
                <w:rFonts w:hint="eastAsia"/>
                <w:szCs w:val="24"/>
                <w:vertAlign w:val="subscript"/>
              </w:rPr>
              <w:t>A</w:t>
            </w:r>
            <w:r>
              <w:rPr>
                <w:rFonts w:hint="eastAsia"/>
              </w:rPr>
              <w:t>＜65%</w:t>
            </w:r>
          </w:p>
        </w:tc>
        <w:tc>
          <w:tcPr>
            <w:tcW w:w="4142" w:type="dxa"/>
            <w:vAlign w:val="center"/>
          </w:tcPr>
          <w:p>
            <w:pPr>
              <w:pStyle w:val="3"/>
              <w:ind w:firstLine="420"/>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380" w:type="dxa"/>
            <w:vAlign w:val="center"/>
          </w:tcPr>
          <w:p>
            <w:pPr>
              <w:pStyle w:val="3"/>
              <w:ind w:firstLine="420"/>
              <w:jc w:val="center"/>
            </w:pPr>
            <w:r>
              <w:rPr>
                <w:rFonts w:hint="eastAsia"/>
              </w:rPr>
              <w:t>65%≤R</w:t>
            </w:r>
            <w:r>
              <w:rPr>
                <w:rFonts w:hint="eastAsia"/>
                <w:szCs w:val="24"/>
                <w:vertAlign w:val="subscript"/>
              </w:rPr>
              <w:t>A</w:t>
            </w:r>
            <w:r>
              <w:rPr>
                <w:rFonts w:hint="eastAsia"/>
              </w:rPr>
              <w:t>＜70%</w:t>
            </w:r>
          </w:p>
        </w:tc>
        <w:tc>
          <w:tcPr>
            <w:tcW w:w="4142" w:type="dxa"/>
            <w:vAlign w:val="center"/>
          </w:tcPr>
          <w:p>
            <w:pPr>
              <w:pStyle w:val="3"/>
              <w:ind w:firstLine="420"/>
              <w:jc w:val="center"/>
            </w:pPr>
            <w:r>
              <w:rPr>
                <w:rFonts w:hint="eastAsia"/>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380" w:type="dxa"/>
            <w:vAlign w:val="center"/>
          </w:tcPr>
          <w:p>
            <w:pPr>
              <w:pStyle w:val="3"/>
              <w:ind w:firstLine="420"/>
              <w:jc w:val="center"/>
            </w:pPr>
            <w:r>
              <w:rPr>
                <w:rFonts w:hint="eastAsia"/>
              </w:rPr>
              <w:t>70%≤R</w:t>
            </w:r>
            <w:r>
              <w:rPr>
                <w:rFonts w:hint="eastAsia"/>
                <w:szCs w:val="24"/>
                <w:vertAlign w:val="subscript"/>
              </w:rPr>
              <w:t>A</w:t>
            </w:r>
            <w:r>
              <w:rPr>
                <w:rFonts w:hint="eastAsia"/>
              </w:rPr>
              <w:t>＜75%</w:t>
            </w:r>
          </w:p>
        </w:tc>
        <w:tc>
          <w:tcPr>
            <w:tcW w:w="4142" w:type="dxa"/>
            <w:vAlign w:val="center"/>
          </w:tcPr>
          <w:p>
            <w:pPr>
              <w:pStyle w:val="3"/>
              <w:ind w:firstLine="420"/>
              <w:jc w:val="center"/>
            </w:pPr>
            <w:r>
              <w:rPr>
                <w:rFonts w:hint="eastAsia"/>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380" w:type="dxa"/>
            <w:vAlign w:val="center"/>
          </w:tcPr>
          <w:p>
            <w:pPr>
              <w:pStyle w:val="3"/>
              <w:ind w:firstLine="420"/>
              <w:jc w:val="center"/>
            </w:pPr>
            <w:r>
              <w:rPr>
                <w:rFonts w:hint="eastAsia"/>
              </w:rPr>
              <w:t>75%≤R</w:t>
            </w:r>
            <w:r>
              <w:rPr>
                <w:rFonts w:hint="eastAsia"/>
                <w:szCs w:val="24"/>
                <w:vertAlign w:val="subscript"/>
              </w:rPr>
              <w:t>A</w:t>
            </w:r>
            <w:r>
              <w:rPr>
                <w:rFonts w:hint="eastAsia"/>
              </w:rPr>
              <w:t>＜80%</w:t>
            </w:r>
          </w:p>
        </w:tc>
        <w:tc>
          <w:tcPr>
            <w:tcW w:w="4142" w:type="dxa"/>
            <w:vAlign w:val="center"/>
          </w:tcPr>
          <w:p>
            <w:pPr>
              <w:pStyle w:val="3"/>
              <w:ind w:firstLine="420"/>
              <w:jc w:val="center"/>
            </w:pPr>
            <w:r>
              <w:rPr>
                <w:rFonts w:hint="eastAsia"/>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380" w:type="dxa"/>
            <w:vAlign w:val="center"/>
          </w:tcPr>
          <w:p>
            <w:pPr>
              <w:pStyle w:val="3"/>
              <w:ind w:firstLine="420"/>
              <w:jc w:val="center"/>
              <w:rPr>
                <w:kern w:val="2"/>
              </w:rPr>
            </w:pPr>
            <w:r>
              <w:rPr>
                <w:rFonts w:hint="eastAsia"/>
              </w:rPr>
              <w:t>R</w:t>
            </w:r>
            <w:r>
              <w:rPr>
                <w:rFonts w:hint="eastAsia"/>
                <w:szCs w:val="24"/>
                <w:vertAlign w:val="subscript"/>
              </w:rPr>
              <w:t>A</w:t>
            </w:r>
            <w:r>
              <w:rPr>
                <w:rFonts w:hint="eastAsia"/>
              </w:rPr>
              <w:t>≥80%</w:t>
            </w:r>
          </w:p>
        </w:tc>
        <w:tc>
          <w:tcPr>
            <w:tcW w:w="4142" w:type="dxa"/>
            <w:vAlign w:val="center"/>
          </w:tcPr>
          <w:p>
            <w:pPr>
              <w:pStyle w:val="3"/>
              <w:ind w:firstLine="420"/>
              <w:jc w:val="center"/>
              <w:rPr>
                <w:kern w:val="2"/>
              </w:rPr>
            </w:pPr>
            <w:r>
              <w:rPr>
                <w:rFonts w:hint="eastAsia"/>
              </w:rPr>
              <w:t>8</w:t>
            </w:r>
          </w:p>
        </w:tc>
      </w:tr>
      <w:bookmarkEnd w:id="26"/>
    </w:tbl>
    <w:p>
      <w:pPr>
        <w:pStyle w:val="2"/>
        <w:ind w:left="432" w:hanging="432"/>
      </w:pPr>
      <w:bookmarkStart w:id="27" w:name="_Toc6965"/>
      <w:r>
        <w:rPr>
          <w:rFonts w:hint="eastAsia"/>
        </w:rPr>
        <w:t>应用软件与计算方法</w:t>
      </w:r>
      <w:bookmarkEnd w:id="27"/>
    </w:p>
    <w:p>
      <w:pPr>
        <w:pStyle w:val="4"/>
      </w:pPr>
      <w:bookmarkStart w:id="28" w:name="_Toc31790"/>
      <w:r>
        <w:t>软件</w:t>
      </w:r>
      <w:r>
        <w:rPr>
          <w:rFonts w:hint="eastAsia"/>
        </w:rPr>
        <w:t>选用</w:t>
      </w:r>
      <w:bookmarkEnd w:id="28"/>
    </w:p>
    <w:p>
      <w:pPr>
        <w:pStyle w:val="3"/>
        <w:ind w:firstLine="420"/>
      </w:pPr>
      <w:r>
        <w:t>本报告采用绿建斯维尔采光分析软件Dali建模</w:t>
      </w:r>
      <w:r>
        <w:rPr>
          <w:rFonts w:hint="eastAsia"/>
        </w:rPr>
        <w:t>。</w:t>
      </w:r>
      <w:r>
        <w:t>Dali是国内首款与国标《建筑采光设计标准》GB50033-2013配套的软件，支持《绿色建筑评价标准》GB/T50378-2014的采光指标要求。</w:t>
      </w:r>
      <w:r>
        <w:rPr>
          <w:rFonts w:hint="eastAsia"/>
        </w:rPr>
        <w:t>软件</w:t>
      </w:r>
      <w:r>
        <w:t>以Radiance为计算核心，将计算结果返回到Dali进行处理分析。Dali可对眩光指数</w:t>
      </w:r>
      <w:r>
        <w:rPr>
          <w:rFonts w:hint="eastAsia"/>
        </w:rPr>
        <w:t>、</w:t>
      </w:r>
      <w:r>
        <w:t>达标率、地下采光、内区采光、视野率等进行快速分析，并根据不同需求生成</w:t>
      </w:r>
      <w:r>
        <w:rPr>
          <w:rFonts w:hint="eastAsia"/>
        </w:rPr>
        <w:t>《不舒适眩光</w:t>
      </w:r>
      <w:r>
        <w:t>分析报告书</w:t>
      </w:r>
      <w:r>
        <w:rPr>
          <w:rFonts w:hint="eastAsia"/>
        </w:rPr>
        <w:t>》等</w:t>
      </w:r>
      <w:r>
        <w:t>系列采光分析报告书。</w:t>
      </w:r>
    </w:p>
    <w:p>
      <w:pPr>
        <w:pStyle w:val="3"/>
        <w:ind w:firstLine="42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29" w:name="_Toc4791"/>
      <w:r>
        <w:rPr>
          <w:rFonts w:hint="eastAsia"/>
        </w:rPr>
        <w:t>计算原理</w:t>
      </w:r>
      <w:bookmarkEnd w:id="29"/>
    </w:p>
    <w:p>
      <w:pPr>
        <w:pStyle w:val="14"/>
        <w:spacing w:line="360" w:lineRule="auto"/>
        <w:ind w:firstLine="420"/>
        <w:rPr>
          <w:rFonts w:ascii="微软雅黑" w:hAnsi="微软雅黑"/>
          <w:b/>
          <w:sz w:val="21"/>
          <w:szCs w:val="21"/>
        </w:rPr>
      </w:pPr>
      <w:r>
        <w:rPr>
          <w:rFonts w:hint="eastAsia" w:ascii="微软雅黑" w:hAnsi="微软雅黑"/>
          <w:b/>
          <w:sz w:val="21"/>
          <w:szCs w:val="21"/>
        </w:rPr>
        <w:t xml:space="preserve">■ 采光系数 </w:t>
      </w:r>
    </w:p>
    <w:p>
      <w:pPr>
        <w:pStyle w:val="3"/>
        <w:ind w:firstLine="420"/>
        <w:rPr>
          <w:b/>
        </w:rPr>
      </w:pPr>
      <w:r>
        <w:t>在室内参考平上的一点，由直接或间接地接收来自假定和已知天空亮度分布的天空漫射光而产生的照度与同一时刻该天空半球在室外无遮挡水平面上产生的天空漫射光照度之比。</w:t>
      </w:r>
    </w:p>
    <w:p>
      <w:pPr>
        <w:pStyle w:val="3"/>
        <w:ind w:firstLine="420"/>
      </w:pPr>
      <w:r>
        <w:t>室内某一点的采光系数C，计算公式为：</w:t>
      </w:r>
    </w:p>
    <w:p>
      <w:pPr>
        <w:pStyle w:val="14"/>
        <w:spacing w:line="360" w:lineRule="auto"/>
        <w:ind w:firstLine="1050" w:firstLineChars="50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4"/>
        <w:spacing w:line="360" w:lineRule="auto"/>
        <w:ind w:firstLine="420"/>
        <w:rPr>
          <w:rFonts w:ascii="微软雅黑" w:hAnsi="微软雅黑"/>
          <w:sz w:val="21"/>
          <w:szCs w:val="21"/>
        </w:rPr>
      </w:pPr>
      <w:r>
        <w:rPr>
          <w:rFonts w:ascii="微软雅黑" w:hAnsi="微软雅黑"/>
          <w:sz w:val="21"/>
          <w:szCs w:val="21"/>
        </w:rPr>
        <w:t>式中:  En—室内照度；</w:t>
      </w:r>
    </w:p>
    <w:p>
      <w:pPr>
        <w:pStyle w:val="14"/>
        <w:spacing w:line="360" w:lineRule="auto"/>
        <w:ind w:firstLine="1155" w:firstLineChars="550"/>
        <w:rPr>
          <w:rFonts w:ascii="微软雅黑" w:hAnsi="微软雅黑"/>
          <w:sz w:val="21"/>
          <w:szCs w:val="21"/>
        </w:rPr>
      </w:pPr>
      <w:r>
        <w:rPr>
          <w:rFonts w:ascii="微软雅黑" w:hAnsi="微软雅黑"/>
          <w:sz w:val="21"/>
          <w:szCs w:val="21"/>
        </w:rPr>
        <w:t>Ew—室外照度。</w:t>
      </w:r>
    </w:p>
    <w:p>
      <w:pPr>
        <w:pStyle w:val="14"/>
        <w:spacing w:line="240" w:lineRule="auto"/>
        <w:ind w:firstLine="420"/>
        <w:rPr>
          <w:rFonts w:ascii="微软雅黑" w:hAnsi="微软雅黑"/>
          <w:b/>
          <w:sz w:val="21"/>
          <w:szCs w:val="21"/>
        </w:rPr>
      </w:pPr>
      <w:r>
        <w:rPr>
          <w:rFonts w:hint="eastAsia" w:ascii="微软雅黑" w:hAnsi="微软雅黑"/>
          <w:b/>
          <w:sz w:val="21"/>
          <w:szCs w:val="21"/>
        </w:rPr>
        <w:t>■ 平均采光系数</w:t>
      </w:r>
    </w:p>
    <w:p>
      <w:pPr>
        <w:pStyle w:val="14"/>
        <w:spacing w:line="240" w:lineRule="auto"/>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4"/>
        <w:spacing w:line="240" w:lineRule="auto"/>
        <w:ind w:firstLine="420"/>
        <w:rPr>
          <w:rFonts w:ascii="微软雅黑" w:hAnsi="微软雅黑"/>
          <w:b/>
          <w:sz w:val="21"/>
          <w:szCs w:val="21"/>
        </w:rPr>
      </w:pPr>
      <w:r>
        <w:rPr>
          <w:rFonts w:hint="eastAsia" w:ascii="微软雅黑" w:hAnsi="微软雅黑"/>
          <w:b/>
          <w:sz w:val="21"/>
          <w:szCs w:val="21"/>
        </w:rPr>
        <w:t>■ 采光系数标准值</w:t>
      </w:r>
    </w:p>
    <w:p>
      <w:pPr>
        <w:pStyle w:val="14"/>
        <w:spacing w:line="240" w:lineRule="auto"/>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w:t>
      </w:r>
      <w:r>
        <w:rPr>
          <w:rFonts w:hint="eastAsia" w:ascii="微软雅黑" w:hAnsi="微软雅黑"/>
          <w:sz w:val="21"/>
          <w:szCs w:val="21"/>
        </w:rPr>
        <w:t>下，对于同一个房间，满足采光系数标准值即满足室内满足天然光照度标准值。</w:t>
      </w:r>
    </w:p>
    <w:p>
      <w:pPr>
        <w:pStyle w:val="14"/>
        <w:spacing w:line="240" w:lineRule="auto"/>
        <w:ind w:firstLine="420"/>
        <w:rPr>
          <w:rFonts w:ascii="微软雅黑" w:hAnsi="微软雅黑"/>
          <w:b/>
          <w:sz w:val="21"/>
          <w:szCs w:val="21"/>
        </w:rPr>
      </w:pPr>
      <w:r>
        <w:rPr>
          <w:rFonts w:hint="eastAsia" w:ascii="微软雅黑" w:hAnsi="微软雅黑"/>
          <w:b/>
          <w:sz w:val="21"/>
          <w:szCs w:val="21"/>
        </w:rPr>
        <w:t>■ 采光系数达标率</w:t>
      </w:r>
    </w:p>
    <w:p>
      <w:pPr>
        <w:pStyle w:val="14"/>
        <w:spacing w:line="240" w:lineRule="auto"/>
        <w:ind w:firstLine="420"/>
        <w:rPr>
          <w:rFonts w:ascii="微软雅黑" w:hAnsi="微软雅黑"/>
          <w:sz w:val="21"/>
          <w:szCs w:val="21"/>
        </w:rPr>
      </w:pPr>
      <w:r>
        <w:rPr>
          <w:rFonts w:ascii="微软雅黑" w:hAnsi="微软雅黑"/>
          <w:sz w:val="21"/>
          <w:szCs w:val="21"/>
        </w:rPr>
        <w:t>如果房间的平均采光系数达到采光系数标准值，则达标率100%，全部计入达标面积；否则对网格点采光系数由高到低进行排序，前n个点的算术平均值刚好达到采光系数标准值时，那么达标率f=n</w:t>
      </w:r>
      <w:r>
        <w:rPr>
          <w:rFonts w:hint="eastAsia" w:ascii="微软雅黑" w:hAnsi="微软雅黑"/>
          <w:sz w:val="21"/>
          <w:szCs w:val="21"/>
        </w:rPr>
        <w:t>/</w:t>
      </w:r>
      <w:r>
        <w:rPr>
          <w:rFonts w:ascii="微软雅黑" w:hAnsi="微软雅黑"/>
          <w:sz w:val="21"/>
          <w:szCs w:val="21"/>
        </w:rPr>
        <w:t>Z，Z为网格点总数，房间的达标面积 = A ×f；各个主要功能房间的达标面积之和除以建筑主要功能房间的总面积，就是单体建筑的达标率。</w:t>
      </w:r>
    </w:p>
    <w:p>
      <w:pPr>
        <w:pStyle w:val="14"/>
        <w:spacing w:line="240" w:lineRule="auto"/>
        <w:ind w:firstLine="420"/>
        <w:rPr>
          <w:rFonts w:ascii="微软雅黑" w:hAnsi="微软雅黑"/>
          <w:b/>
          <w:sz w:val="21"/>
          <w:szCs w:val="21"/>
        </w:rPr>
      </w:pPr>
      <w:r>
        <w:rPr>
          <w:rFonts w:hint="eastAsia" w:ascii="微软雅黑" w:hAnsi="微软雅黑"/>
          <w:b/>
          <w:sz w:val="21"/>
          <w:szCs w:val="21"/>
        </w:rPr>
        <w:t>■ 评价分值</w:t>
      </w:r>
    </w:p>
    <w:p>
      <w:pPr>
        <w:pStyle w:val="14"/>
        <w:spacing w:line="240" w:lineRule="auto"/>
        <w:ind w:firstLine="420"/>
        <w:rPr>
          <w:rFonts w:ascii="微软雅黑" w:hAnsi="微软雅黑"/>
          <w:sz w:val="21"/>
          <w:szCs w:val="21"/>
        </w:rPr>
      </w:pPr>
      <w:r>
        <w:rPr>
          <w:rFonts w:ascii="微软雅黑" w:hAnsi="微软雅黑"/>
          <w:sz w:val="21"/>
          <w:szCs w:val="21"/>
        </w:rPr>
        <w:t>依据表8.2.6的面积</w:t>
      </w:r>
      <w:r>
        <w:rPr>
          <w:rFonts w:hint="eastAsia" w:ascii="微软雅黑" w:hAnsi="微软雅黑"/>
          <w:sz w:val="21"/>
          <w:szCs w:val="21"/>
        </w:rPr>
        <w:t>比例与得分的对应关系，给出主要功能房间天然采光效果的评价分值。</w:t>
      </w:r>
    </w:p>
    <w:p>
      <w:pPr>
        <w:pStyle w:val="4"/>
      </w:pPr>
      <w:bookmarkStart w:id="30" w:name="_Toc18030"/>
      <w:bookmarkStart w:id="31" w:name="_Toc290149059"/>
      <w:bookmarkStart w:id="32" w:name="_Toc264043630"/>
      <w:bookmarkStart w:id="33" w:name="_Toc275165387"/>
      <w:bookmarkStart w:id="34" w:name="_Toc290209317"/>
      <w:bookmarkStart w:id="35" w:name="_Toc312399796"/>
      <w:bookmarkStart w:id="36" w:name="_Toc290209341"/>
      <w:bookmarkStart w:id="37" w:name="_Toc264569237"/>
      <w:r>
        <w:rPr>
          <w:rFonts w:hint="eastAsia"/>
        </w:rPr>
        <w:t>计算方法</w:t>
      </w:r>
      <w:bookmarkEnd w:id="30"/>
    </w:p>
    <w:p>
      <w:pPr>
        <w:pStyle w:val="14"/>
        <w:spacing w:line="240" w:lineRule="auto"/>
        <w:ind w:firstLine="420"/>
        <w:rPr>
          <w:rFonts w:ascii="Times New Roman" w:hAnsi="Times New Roman"/>
          <w:b/>
          <w:sz w:val="21"/>
          <w:szCs w:val="21"/>
        </w:rPr>
      </w:pPr>
      <w:r>
        <w:rPr>
          <w:rFonts w:ascii="Times New Roman" w:hAnsi="Times New Roman"/>
          <w:sz w:val="21"/>
          <w:szCs w:val="21"/>
        </w:rPr>
        <w:t>《建筑采光设计标准》GB50033-2013第6.0.3条指出，对于采光形式复杂的建筑，应利用计算机模拟软件或缩尺模型进行采光计算分析。为尽量真实分析各功能房间（场所）的采光品质和状况，本项目采用</w:t>
      </w:r>
      <w:r>
        <w:rPr>
          <w:rFonts w:ascii="Times New Roman" w:hAnsi="Times New Roman"/>
          <w:sz w:val="21"/>
          <w:szCs w:val="21"/>
          <w:u w:val="single"/>
        </w:rPr>
        <w:t>模拟法</w:t>
      </w:r>
      <w:r>
        <w:rPr>
          <w:rFonts w:ascii="Times New Roman" w:hAnsi="Times New Roman"/>
          <w:sz w:val="21"/>
          <w:szCs w:val="21"/>
        </w:rPr>
        <w:t>计算采光系数。</w:t>
      </w:r>
      <w:bookmarkEnd w:id="31"/>
      <w:bookmarkEnd w:id="32"/>
      <w:bookmarkEnd w:id="33"/>
      <w:bookmarkEnd w:id="34"/>
      <w:bookmarkEnd w:id="35"/>
      <w:bookmarkEnd w:id="36"/>
      <w:bookmarkEnd w:id="37"/>
    </w:p>
    <w:p>
      <w:pPr>
        <w:pStyle w:val="2"/>
        <w:ind w:left="432" w:hanging="432"/>
      </w:pPr>
      <w:bookmarkStart w:id="38" w:name="_Toc6726"/>
      <w:r>
        <w:rPr>
          <w:rFonts w:hint="eastAsia"/>
        </w:rPr>
        <w:t>计算参数选用</w:t>
      </w:r>
      <w:bookmarkEnd w:id="38"/>
    </w:p>
    <w:p>
      <w:pPr>
        <w:pStyle w:val="4"/>
      </w:pPr>
      <w:bookmarkStart w:id="39" w:name="_Toc4852"/>
      <w:r>
        <w:rPr>
          <w:rFonts w:hint="eastAsia"/>
        </w:rPr>
        <w:t>模拟条件</w:t>
      </w:r>
      <w:bookmarkEnd w:id="39"/>
    </w:p>
    <w:p>
      <w:pPr>
        <w:pStyle w:val="3"/>
        <w:ind w:firstLine="420"/>
      </w:pPr>
      <w:r>
        <w:rPr>
          <w:rFonts w:hint="eastAsia"/>
          <w:b/>
        </w:rPr>
        <w:t>天空状态：</w:t>
      </w:r>
      <w:r>
        <w:t>CIE全阴天天空</w:t>
      </w:r>
    </w:p>
    <w:p>
      <w:pPr>
        <w:pStyle w:val="3"/>
        <w:ind w:firstLine="420"/>
      </w:pPr>
      <w:r>
        <w:rPr>
          <w:rFonts w:hint="eastAsia"/>
          <w:b/>
        </w:rPr>
        <w:t>计算</w:t>
      </w:r>
      <w:r>
        <w:rPr>
          <w:b/>
        </w:rPr>
        <w:t>光线反射次数</w:t>
      </w:r>
      <w:r>
        <w:t>：</w:t>
      </w:r>
      <w:bookmarkStart w:id="40" w:name="光线反射次数"/>
      <w:r>
        <w:t>3</w:t>
      </w:r>
      <w:bookmarkEnd w:id="40"/>
      <w:r>
        <w:t>次</w:t>
      </w:r>
    </w:p>
    <w:p>
      <w:pPr>
        <w:pStyle w:val="3"/>
        <w:ind w:firstLine="420"/>
      </w:pPr>
      <w:r>
        <w:rPr>
          <w:rFonts w:hint="eastAsia"/>
          <w:b/>
        </w:rPr>
        <w:t>分析参考平面：</w:t>
      </w:r>
      <w:bookmarkStart w:id="41" w:name="分析面高"/>
      <w:r>
        <w:rPr>
          <w:rFonts w:hint="eastAsia"/>
        </w:rPr>
        <w:t>0.75</w:t>
      </w:r>
      <w:bookmarkEnd w:id="41"/>
      <w:r>
        <w:t>m</w:t>
      </w:r>
    </w:p>
    <w:p>
      <w:pPr>
        <w:pStyle w:val="3"/>
        <w:ind w:firstLine="42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 w:val="21"/>
                <w:szCs w:val="21"/>
              </w:rPr>
            </w:pPr>
            <w:r>
              <w:rPr>
                <w:rFonts w:hint="eastAsia"/>
                <w:sz w:val="21"/>
                <w:szCs w:val="21"/>
              </w:rPr>
              <w:t>房间面积(㎡)</w:t>
            </w:r>
          </w:p>
        </w:tc>
        <w:tc>
          <w:tcPr>
            <w:tcW w:w="3272" w:type="dxa"/>
            <w:shd w:val="clear" w:color="auto" w:fill="E6E6E6"/>
            <w:vAlign w:val="center"/>
          </w:tcPr>
          <w:p>
            <w:pPr>
              <w:rPr>
                <w:sz w:val="21"/>
                <w:szCs w:val="21"/>
              </w:rPr>
            </w:pPr>
            <w:r>
              <w:rPr>
                <w:rFonts w:hint="eastAsia"/>
                <w:sz w:val="21"/>
                <w:szCs w:val="21"/>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pStyle w:val="3"/>
              <w:ind w:firstLine="0" w:firstLineChars="0"/>
              <w:jc w:val="center"/>
            </w:pPr>
            <w:r>
              <w:rPr>
                <w:rFonts w:hint="eastAsia"/>
              </w:rPr>
              <w:t>≤</w:t>
            </w:r>
            <w:bookmarkStart w:id="42" w:name="网格划分小房间面积"/>
            <w:r>
              <w:rPr>
                <w:rFonts w:hint="eastAsia"/>
              </w:rPr>
              <w:t>10</w:t>
            </w:r>
            <w:bookmarkEnd w:id="42"/>
          </w:p>
        </w:tc>
        <w:tc>
          <w:tcPr>
            <w:tcW w:w="3272" w:type="dxa"/>
            <w:shd w:val="clear" w:color="auto" w:fill="auto"/>
            <w:vAlign w:val="center"/>
          </w:tcPr>
          <w:p>
            <w:pPr>
              <w:pStyle w:val="3"/>
              <w:ind w:firstLine="0" w:firstLineChars="0"/>
              <w:jc w:val="center"/>
            </w:pPr>
            <w:bookmarkStart w:id="43" w:name="小房间网格大小"/>
            <w:r>
              <w:rPr>
                <w:rFonts w:hint="eastAsia"/>
              </w:rPr>
              <w:t>0.25</w:t>
            </w:r>
            <w:bookmarkEnd w:id="4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pStyle w:val="3"/>
              <w:ind w:firstLine="0" w:firstLineChars="0"/>
              <w:jc w:val="center"/>
            </w:pPr>
            <w:bookmarkStart w:id="44" w:name="网格划分房间面积"/>
            <w:r>
              <w:rPr>
                <w:rFonts w:hint="eastAsia"/>
              </w:rPr>
              <w:t>10~100</w:t>
            </w:r>
            <w:bookmarkEnd w:id="44"/>
          </w:p>
        </w:tc>
        <w:tc>
          <w:tcPr>
            <w:tcW w:w="3272" w:type="dxa"/>
            <w:shd w:val="clear" w:color="auto" w:fill="auto"/>
            <w:vAlign w:val="center"/>
          </w:tcPr>
          <w:p>
            <w:pPr>
              <w:pStyle w:val="3"/>
              <w:ind w:firstLine="0" w:firstLineChars="0"/>
              <w:jc w:val="center"/>
            </w:pPr>
            <w:bookmarkStart w:id="45" w:name="网格大小"/>
            <w:r>
              <w:rPr>
                <w:rFonts w:hint="eastAsia"/>
              </w:rPr>
              <w:t>0.50</w:t>
            </w:r>
            <w:bookmarkEnd w:id="4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pStyle w:val="3"/>
              <w:ind w:firstLine="0" w:firstLineChars="0"/>
              <w:jc w:val="center"/>
            </w:pPr>
            <w:r>
              <w:rPr>
                <w:rFonts w:hint="eastAsia"/>
              </w:rPr>
              <w:t>≥</w:t>
            </w:r>
            <w:bookmarkStart w:id="46" w:name="网格划分大房间面积"/>
            <w:r>
              <w:rPr>
                <w:rFonts w:hint="eastAsia"/>
              </w:rPr>
              <w:t>100</w:t>
            </w:r>
            <w:bookmarkEnd w:id="46"/>
          </w:p>
        </w:tc>
        <w:tc>
          <w:tcPr>
            <w:tcW w:w="3272" w:type="dxa"/>
            <w:shd w:val="clear" w:color="auto" w:fill="auto"/>
            <w:vAlign w:val="center"/>
          </w:tcPr>
          <w:p>
            <w:pPr>
              <w:pStyle w:val="3"/>
              <w:ind w:firstLine="0" w:firstLineChars="0"/>
              <w:jc w:val="center"/>
            </w:pPr>
            <w:bookmarkStart w:id="47" w:name="大房间网格大小"/>
            <w:r>
              <w:rPr>
                <w:rFonts w:hint="eastAsia"/>
              </w:rPr>
              <w:t>1.00</w:t>
            </w:r>
            <w:bookmarkEnd w:id="47"/>
          </w:p>
        </w:tc>
      </w:tr>
    </w:tbl>
    <w:p>
      <w:pPr>
        <w:pStyle w:val="3"/>
        <w:ind w:firstLine="420"/>
      </w:pPr>
      <w:r>
        <w:rPr>
          <w:b/>
        </w:rPr>
        <w:t>周边环境</w:t>
      </w:r>
      <w:r>
        <w:rPr>
          <w:rFonts w:hint="eastAsia"/>
          <w:b/>
        </w:rPr>
        <w:t>：</w:t>
      </w:r>
      <w:r>
        <w:t>考虑</w:t>
      </w:r>
      <w:r>
        <w:rPr>
          <w:rFonts w:hint="eastAsia"/>
        </w:rPr>
        <w:t>分析区内的</w:t>
      </w:r>
      <w:r>
        <w:t>建筑物</w:t>
      </w:r>
      <w:r>
        <w:rPr>
          <w:rFonts w:hint="eastAsia"/>
        </w:rPr>
        <w:t>之间</w:t>
      </w:r>
      <w:r>
        <w:t>遮挡</w:t>
      </w:r>
    </w:p>
    <w:p>
      <w:pPr>
        <w:pStyle w:val="3"/>
        <w:ind w:firstLine="420"/>
      </w:pPr>
      <w:r>
        <w:rPr>
          <w:rFonts w:hint="eastAsia"/>
          <w:b/>
        </w:rPr>
        <w:t>室内环境：</w:t>
      </w:r>
      <w:r>
        <w:t>忽略室内家具</w:t>
      </w:r>
      <w:r>
        <w:rPr>
          <w:rFonts w:hint="eastAsia"/>
        </w:rPr>
        <w:t>类设施</w:t>
      </w:r>
      <w:r>
        <w:t>的影响，</w:t>
      </w:r>
      <w:r>
        <w:rPr>
          <w:rFonts w:hint="eastAsia"/>
        </w:rPr>
        <w:t>只考虑永久固定的顶棚、地面和墙面</w:t>
      </w:r>
    </w:p>
    <w:p>
      <w:pPr>
        <w:pStyle w:val="4"/>
      </w:pPr>
      <w:bookmarkStart w:id="48" w:name="_Toc18620"/>
      <w:r>
        <w:rPr>
          <w:rFonts w:hint="eastAsia"/>
        </w:rPr>
        <w:t>建筑饰面材料参数</w:t>
      </w:r>
      <w:bookmarkEnd w:id="48"/>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3464"/>
        <w:gridCol w:w="3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219" w:type="dxa"/>
            <w:gridSpan w:val="3"/>
            <w:tcBorders>
              <w:top w:val="single" w:color="auto" w:sz="12" w:space="0"/>
              <w:bottom w:val="single" w:color="auto" w:sz="4" w:space="0"/>
            </w:tcBorders>
            <w:shd w:val="clear" w:color="auto" w:fill="E6E6E6"/>
            <w:vAlign w:val="center"/>
          </w:tcPr>
          <w:p>
            <w:pPr>
              <w:rPr>
                <w:rFonts w:ascii="宋体" w:hAnsi="宋体"/>
                <w:sz w:val="21"/>
                <w:szCs w:val="21"/>
                <w:lang w:val="en-US"/>
              </w:rPr>
            </w:pPr>
            <w:r>
              <w:rPr>
                <w:rFonts w:hint="eastAsia"/>
                <w:sz w:val="21"/>
                <w:szCs w:val="21"/>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24" w:type="dxa"/>
            <w:tcBorders>
              <w:top w:val="single" w:color="auto" w:sz="4" w:space="0"/>
              <w:bottom w:val="single" w:color="auto" w:sz="4" w:space="0"/>
            </w:tcBorders>
            <w:shd w:val="clear" w:color="auto" w:fill="E6E6E6"/>
            <w:vAlign w:val="center"/>
          </w:tcPr>
          <w:p>
            <w:pPr>
              <w:rPr>
                <w:sz w:val="21"/>
                <w:szCs w:val="21"/>
              </w:rPr>
            </w:pPr>
            <w:r>
              <w:rPr>
                <w:rFonts w:hint="eastAsia"/>
                <w:sz w:val="21"/>
                <w:szCs w:val="21"/>
              </w:rPr>
              <w:t>部位</w:t>
            </w:r>
          </w:p>
        </w:tc>
        <w:tc>
          <w:tcPr>
            <w:tcW w:w="3464" w:type="dxa"/>
            <w:tcBorders>
              <w:top w:val="single" w:color="auto" w:sz="4" w:space="0"/>
              <w:bottom w:val="single" w:color="auto" w:sz="4" w:space="0"/>
            </w:tcBorders>
            <w:shd w:val="clear" w:color="auto" w:fill="E6E6E6"/>
            <w:vAlign w:val="center"/>
          </w:tcPr>
          <w:p>
            <w:pPr>
              <w:rPr>
                <w:sz w:val="21"/>
                <w:szCs w:val="21"/>
              </w:rPr>
            </w:pPr>
            <w:r>
              <w:rPr>
                <w:rFonts w:hint="eastAsia"/>
                <w:sz w:val="21"/>
                <w:szCs w:val="21"/>
              </w:rPr>
              <w:t>反射比材料设计取值</w:t>
            </w:r>
          </w:p>
        </w:tc>
        <w:tc>
          <w:tcPr>
            <w:tcW w:w="3531" w:type="dxa"/>
            <w:tcBorders>
              <w:top w:val="single" w:color="auto" w:sz="4" w:space="0"/>
              <w:bottom w:val="single" w:color="auto" w:sz="4" w:space="0"/>
            </w:tcBorders>
            <w:shd w:val="clear" w:color="auto" w:fill="E6E6E6"/>
            <w:vAlign w:val="center"/>
          </w:tcPr>
          <w:p>
            <w:pPr>
              <w:rPr>
                <w:sz w:val="21"/>
                <w:szCs w:val="21"/>
              </w:rPr>
            </w:pPr>
            <w:r>
              <w:rPr>
                <w:rFonts w:hint="eastAsia"/>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24" w:type="dxa"/>
            <w:tcBorders>
              <w:top w:val="single" w:color="auto" w:sz="4" w:space="0"/>
            </w:tcBorders>
            <w:shd w:val="clear" w:color="auto" w:fill="auto"/>
            <w:vAlign w:val="center"/>
          </w:tcPr>
          <w:p>
            <w:pPr>
              <w:rPr>
                <w:sz w:val="21"/>
                <w:szCs w:val="21"/>
              </w:rPr>
            </w:pPr>
            <w:r>
              <w:rPr>
                <w:rFonts w:hint="eastAsia"/>
                <w:sz w:val="21"/>
                <w:szCs w:val="21"/>
              </w:rPr>
              <w:t>顶棚</w:t>
            </w:r>
          </w:p>
        </w:tc>
        <w:tc>
          <w:tcPr>
            <w:tcW w:w="3464" w:type="dxa"/>
            <w:tcBorders>
              <w:top w:val="single" w:color="auto" w:sz="4" w:space="0"/>
            </w:tcBorders>
            <w:shd w:val="clear" w:color="auto" w:fill="auto"/>
            <w:vAlign w:val="center"/>
          </w:tcPr>
          <w:p>
            <w:pPr>
              <w:rPr>
                <w:sz w:val="21"/>
                <w:szCs w:val="21"/>
              </w:rPr>
            </w:pPr>
            <w:bookmarkStart w:id="49" w:name="顶棚反射比"/>
            <w:r>
              <w:rPr>
                <w:rFonts w:hint="eastAsia"/>
                <w:sz w:val="21"/>
                <w:szCs w:val="21"/>
              </w:rPr>
              <w:t>0.75</w:t>
            </w:r>
            <w:bookmarkEnd w:id="49"/>
          </w:p>
        </w:tc>
        <w:tc>
          <w:tcPr>
            <w:tcW w:w="3531" w:type="dxa"/>
            <w:tcBorders>
              <w:top w:val="single" w:color="auto" w:sz="4" w:space="0"/>
            </w:tcBorders>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24" w:type="dxa"/>
            <w:tcBorders>
              <w:top w:val="single" w:color="auto" w:sz="4" w:space="0"/>
            </w:tcBorders>
            <w:shd w:val="clear" w:color="auto" w:fill="auto"/>
            <w:vAlign w:val="center"/>
          </w:tcPr>
          <w:p>
            <w:pPr>
              <w:rPr>
                <w:sz w:val="21"/>
                <w:szCs w:val="21"/>
              </w:rPr>
            </w:pPr>
            <w:r>
              <w:rPr>
                <w:rFonts w:hint="eastAsia"/>
                <w:sz w:val="21"/>
                <w:szCs w:val="21"/>
              </w:rPr>
              <w:t>地面</w:t>
            </w:r>
          </w:p>
        </w:tc>
        <w:tc>
          <w:tcPr>
            <w:tcW w:w="3464" w:type="dxa"/>
            <w:tcBorders>
              <w:top w:val="single" w:color="auto" w:sz="4" w:space="0"/>
            </w:tcBorders>
            <w:shd w:val="clear" w:color="auto" w:fill="auto"/>
            <w:vAlign w:val="center"/>
          </w:tcPr>
          <w:p>
            <w:pPr>
              <w:rPr>
                <w:sz w:val="21"/>
                <w:szCs w:val="21"/>
              </w:rPr>
            </w:pPr>
            <w:bookmarkStart w:id="50" w:name="地面反射比"/>
            <w:r>
              <w:rPr>
                <w:rFonts w:hint="eastAsia"/>
                <w:sz w:val="21"/>
                <w:szCs w:val="21"/>
              </w:rPr>
              <w:t>0.30</w:t>
            </w:r>
            <w:bookmarkEnd w:id="50"/>
          </w:p>
        </w:tc>
        <w:tc>
          <w:tcPr>
            <w:tcW w:w="3531" w:type="dxa"/>
            <w:tcBorders>
              <w:top w:val="single" w:color="auto" w:sz="4" w:space="0"/>
            </w:tcBorders>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24" w:type="dxa"/>
            <w:tcBorders>
              <w:top w:val="single" w:color="auto" w:sz="4" w:space="0"/>
            </w:tcBorders>
            <w:shd w:val="clear" w:color="auto" w:fill="auto"/>
            <w:vAlign w:val="center"/>
          </w:tcPr>
          <w:p>
            <w:pPr>
              <w:rPr>
                <w:sz w:val="21"/>
                <w:szCs w:val="21"/>
              </w:rPr>
            </w:pPr>
            <w:r>
              <w:rPr>
                <w:rFonts w:hint="eastAsia"/>
                <w:sz w:val="21"/>
                <w:szCs w:val="21"/>
              </w:rPr>
              <w:t>墙面</w:t>
            </w:r>
          </w:p>
        </w:tc>
        <w:tc>
          <w:tcPr>
            <w:tcW w:w="3464" w:type="dxa"/>
            <w:tcBorders>
              <w:top w:val="single" w:color="auto" w:sz="4" w:space="0"/>
            </w:tcBorders>
            <w:shd w:val="clear" w:color="auto" w:fill="auto"/>
            <w:vAlign w:val="center"/>
          </w:tcPr>
          <w:p>
            <w:pPr>
              <w:rPr>
                <w:sz w:val="21"/>
                <w:szCs w:val="21"/>
              </w:rPr>
            </w:pPr>
            <w:bookmarkStart w:id="51" w:name="墙面反射比"/>
            <w:r>
              <w:rPr>
                <w:rFonts w:hint="eastAsia"/>
                <w:sz w:val="21"/>
                <w:szCs w:val="21"/>
              </w:rPr>
              <w:t>0.60</w:t>
            </w:r>
            <w:bookmarkEnd w:id="51"/>
          </w:p>
        </w:tc>
        <w:tc>
          <w:tcPr>
            <w:tcW w:w="3531" w:type="dxa"/>
            <w:tcBorders>
              <w:top w:val="single" w:color="auto" w:sz="4" w:space="0"/>
            </w:tcBorders>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24" w:type="dxa"/>
            <w:tcBorders>
              <w:top w:val="single" w:color="auto" w:sz="4" w:space="0"/>
            </w:tcBorders>
            <w:shd w:val="clear" w:color="auto" w:fill="auto"/>
            <w:vAlign w:val="center"/>
          </w:tcPr>
          <w:p>
            <w:pPr>
              <w:rPr>
                <w:sz w:val="21"/>
                <w:szCs w:val="21"/>
              </w:rPr>
            </w:pPr>
            <w:r>
              <w:rPr>
                <w:rFonts w:hint="eastAsia"/>
                <w:sz w:val="21"/>
                <w:szCs w:val="21"/>
              </w:rPr>
              <w:t>外表面</w:t>
            </w:r>
          </w:p>
        </w:tc>
        <w:tc>
          <w:tcPr>
            <w:tcW w:w="3464" w:type="dxa"/>
            <w:tcBorders>
              <w:top w:val="single" w:color="auto" w:sz="4" w:space="0"/>
            </w:tcBorders>
            <w:shd w:val="clear" w:color="auto" w:fill="auto"/>
            <w:vAlign w:val="center"/>
          </w:tcPr>
          <w:p>
            <w:pPr>
              <w:rPr>
                <w:sz w:val="21"/>
                <w:szCs w:val="21"/>
              </w:rPr>
            </w:pPr>
            <w:bookmarkStart w:id="52" w:name="外表面反射比"/>
            <w:r>
              <w:rPr>
                <w:rFonts w:hint="eastAsia"/>
                <w:sz w:val="21"/>
                <w:szCs w:val="21"/>
              </w:rPr>
              <w:t>0.50</w:t>
            </w:r>
            <w:bookmarkEnd w:id="52"/>
          </w:p>
        </w:tc>
        <w:tc>
          <w:tcPr>
            <w:tcW w:w="3531" w:type="dxa"/>
            <w:tcBorders>
              <w:top w:val="single" w:color="auto" w:sz="4" w:space="0"/>
            </w:tcBorders>
            <w:shd w:val="clear" w:color="auto" w:fill="auto"/>
            <w:vAlign w:val="center"/>
          </w:tcPr>
          <w:p>
            <w:pPr>
              <w:rPr>
                <w:sz w:val="21"/>
                <w:szCs w:val="21"/>
              </w:rPr>
            </w:pPr>
          </w:p>
        </w:tc>
      </w:tr>
    </w:tbl>
    <w:p>
      <w:pPr>
        <w:pStyle w:val="14"/>
        <w:spacing w:line="360" w:lineRule="auto"/>
        <w:ind w:firstLine="360"/>
        <w:rPr>
          <w:rFonts w:ascii="Times New Roman" w:hAnsi="Times New Roman"/>
          <w:sz w:val="18"/>
          <w:szCs w:val="18"/>
        </w:rPr>
      </w:pPr>
      <w:r>
        <w:rPr>
          <w:rFonts w:ascii="Times New Roman" w:hAnsi="Times New Roman"/>
          <w:sz w:val="18"/>
          <w:szCs w:val="18"/>
        </w:rPr>
        <w:t>注1：数据参考自：《建筑采光设计标准》GB50033-2013附录D 表D.0.5；</w:t>
      </w:r>
      <w:r>
        <w:rPr>
          <w:rFonts w:ascii="Times New Roman" w:hAnsi="Times New Roman"/>
          <w:szCs w:val="21"/>
        </w:rPr>
        <w:tab/>
      </w:r>
    </w:p>
    <w:p>
      <w:pPr>
        <w:pStyle w:val="4"/>
      </w:pPr>
      <w:bookmarkStart w:id="53" w:name="_Toc4762"/>
      <w:r>
        <w:rPr>
          <w:rFonts w:hint="eastAsia"/>
        </w:rPr>
        <w:t>门窗类型参数</w:t>
      </w:r>
      <w:bookmarkEnd w:id="53"/>
    </w:p>
    <w:p>
      <w:pPr>
        <w:pStyle w:val="3"/>
        <w:ind w:firstLine="42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ind w:firstLine="0" w:firstLineChars="0"/>
        <w:rPr>
          <w:sz w:val="18"/>
          <w:szCs w:val="18"/>
          <w:lang w:val="en-US"/>
        </w:rPr>
      </w:pPr>
    </w:p>
    <w:p>
      <w:pPr>
        <w:pStyle w:val="5"/>
      </w:pPr>
      <w:bookmarkStart w:id="54" w:name="_Toc21324"/>
      <w:bookmarkStart w:id="55" w:name="窗"/>
      <w:r>
        <w:t>普通</w:t>
      </w:r>
      <w:r>
        <w:rPr>
          <w:rFonts w:hint="eastAsia"/>
        </w:rPr>
        <w:t>窗</w:t>
      </w:r>
      <w:bookmarkEnd w:id="54"/>
    </w:p>
    <w:bookmarkEnd w:id="55"/>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C10930</w:t>
            </w:r>
          </w:p>
        </w:tc>
        <w:tc>
          <w:tcPr>
            <w:vAlign w:val="center"/>
          </w:tcPr>
          <w:p>
            <w:r>
              <w:t>10940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C10930A</w:t>
            </w:r>
          </w:p>
        </w:tc>
        <w:tc>
          <w:tcPr>
            <w:vAlign w:val="center"/>
          </w:tcPr>
          <w:p>
            <w:r>
              <w:t>10930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C11042</w:t>
            </w:r>
          </w:p>
        </w:tc>
        <w:tc>
          <w:tcPr>
            <w:vAlign w:val="center"/>
          </w:tcPr>
          <w:p>
            <w:r>
              <w:t>11080</w:t>
            </w:r>
          </w:p>
        </w:tc>
        <w:tc>
          <w:tcPr>
            <w:vAlign w:val="center"/>
          </w:tcPr>
          <w:p>
            <w:r>
              <w:t>4220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C12035</w:t>
            </w:r>
          </w:p>
        </w:tc>
        <w:tc>
          <w:tcPr>
            <w:vAlign w:val="center"/>
          </w:tcPr>
          <w:p>
            <w:r>
              <w:t>11960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C13035</w:t>
            </w:r>
          </w:p>
        </w:tc>
        <w:tc>
          <w:tcPr>
            <w:vAlign w:val="center"/>
          </w:tcPr>
          <w:p>
            <w:r>
              <w:t>13000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C13435</w:t>
            </w:r>
          </w:p>
        </w:tc>
        <w:tc>
          <w:tcPr>
            <w:vAlign w:val="center"/>
          </w:tcPr>
          <w:p>
            <w:r>
              <w:t>13440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C13624</w:t>
            </w:r>
          </w:p>
        </w:tc>
        <w:tc>
          <w:tcPr>
            <w:vAlign w:val="center"/>
          </w:tcPr>
          <w:p>
            <w:r>
              <w:t>13600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C14330</w:t>
            </w:r>
          </w:p>
        </w:tc>
        <w:tc>
          <w:tcPr>
            <w:vAlign w:val="center"/>
          </w:tcPr>
          <w:p>
            <w:r>
              <w:t>14320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C14531</w:t>
            </w:r>
          </w:p>
        </w:tc>
        <w:tc>
          <w:tcPr>
            <w:vAlign w:val="center"/>
          </w:tcPr>
          <w:p>
            <w:r>
              <w:t>14570</w:t>
            </w:r>
          </w:p>
        </w:tc>
        <w:tc>
          <w:tcPr>
            <w:vAlign w:val="center"/>
          </w:tcPr>
          <w:p>
            <w:r>
              <w:t>3180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C15030</w:t>
            </w:r>
          </w:p>
        </w:tc>
        <w:tc>
          <w:tcPr>
            <w:vAlign w:val="center"/>
          </w:tcPr>
          <w:p>
            <w:r>
              <w:t>14960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C18030</w:t>
            </w:r>
          </w:p>
        </w:tc>
        <w:tc>
          <w:tcPr>
            <w:vAlign w:val="center"/>
          </w:tcPr>
          <w:p>
            <w:r>
              <w:t>17960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C18540</w:t>
            </w:r>
          </w:p>
        </w:tc>
        <w:tc>
          <w:tcPr>
            <w:vAlign w:val="center"/>
          </w:tcPr>
          <w:p>
            <w:r>
              <w:t>18500</w:t>
            </w:r>
          </w:p>
        </w:tc>
        <w:tc>
          <w:tcPr>
            <w:vAlign w:val="center"/>
          </w:tcPr>
          <w:p>
            <w:r>
              <w:t>4000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C18624</w:t>
            </w:r>
          </w:p>
        </w:tc>
        <w:tc>
          <w:tcPr>
            <w:vAlign w:val="center"/>
          </w:tcPr>
          <w:p>
            <w:r>
              <w:t>18600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C18935</w:t>
            </w:r>
          </w:p>
        </w:tc>
        <w:tc>
          <w:tcPr>
            <w:vAlign w:val="center"/>
          </w:tcPr>
          <w:p>
            <w:r>
              <w:t>8900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C19930</w:t>
            </w:r>
          </w:p>
        </w:tc>
        <w:tc>
          <w:tcPr>
            <w:vAlign w:val="center"/>
          </w:tcPr>
          <w:p>
            <w:r>
              <w:t>19900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C20130</w:t>
            </w:r>
          </w:p>
        </w:tc>
        <w:tc>
          <w:tcPr>
            <w:vAlign w:val="center"/>
          </w:tcPr>
          <w:p>
            <w:r>
              <w:t>20100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C20535</w:t>
            </w:r>
          </w:p>
        </w:tc>
        <w:tc>
          <w:tcPr>
            <w:vAlign w:val="center"/>
          </w:tcPr>
          <w:p>
            <w:r>
              <w:t>20500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C21540</w:t>
            </w:r>
          </w:p>
        </w:tc>
        <w:tc>
          <w:tcPr>
            <w:vAlign w:val="center"/>
          </w:tcPr>
          <w:p>
            <w:r>
              <w:t>21500</w:t>
            </w:r>
          </w:p>
        </w:tc>
        <w:tc>
          <w:tcPr>
            <w:vAlign w:val="center"/>
          </w:tcPr>
          <w:p>
            <w:r>
              <w:t>4000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C22324</w:t>
            </w:r>
          </w:p>
        </w:tc>
        <w:tc>
          <w:tcPr>
            <w:vAlign w:val="center"/>
          </w:tcPr>
          <w:p>
            <w:r>
              <w:t>22360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C25130</w:t>
            </w:r>
          </w:p>
        </w:tc>
        <w:tc>
          <w:tcPr>
            <w:vAlign w:val="center"/>
          </w:tcPr>
          <w:p>
            <w:r>
              <w:t>25070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C29624</w:t>
            </w:r>
          </w:p>
        </w:tc>
        <w:tc>
          <w:tcPr>
            <w:vAlign w:val="center"/>
          </w:tcPr>
          <w:p>
            <w:r>
              <w:t>29600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C32835</w:t>
            </w:r>
          </w:p>
        </w:tc>
        <w:tc>
          <w:tcPr>
            <w:vAlign w:val="center"/>
          </w:tcPr>
          <w:p>
            <w:r>
              <w:t>25760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C3730</w:t>
            </w:r>
          </w:p>
        </w:tc>
        <w:tc>
          <w:tcPr>
            <w:vAlign w:val="center"/>
          </w:tcPr>
          <w:p>
            <w:r>
              <w:t>3700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C39030</w:t>
            </w:r>
          </w:p>
        </w:tc>
        <w:tc>
          <w:tcPr>
            <w:vAlign w:val="center"/>
          </w:tcPr>
          <w:p>
            <w:r>
              <w:t>29000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C5835</w:t>
            </w:r>
          </w:p>
        </w:tc>
        <w:tc>
          <w:tcPr>
            <w:vAlign w:val="center"/>
          </w:tcPr>
          <w:p>
            <w:r>
              <w:t>5760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C5840</w:t>
            </w:r>
          </w:p>
        </w:tc>
        <w:tc>
          <w:tcPr>
            <w:vAlign w:val="center"/>
          </w:tcPr>
          <w:p>
            <w:r>
              <w:t>5870</w:t>
            </w:r>
          </w:p>
        </w:tc>
        <w:tc>
          <w:tcPr>
            <w:vAlign w:val="center"/>
          </w:tcPr>
          <w:p>
            <w:r>
              <w:t>4000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C6024</w:t>
            </w:r>
          </w:p>
        </w:tc>
        <w:tc>
          <w:tcPr>
            <w:vAlign w:val="center"/>
          </w:tcPr>
          <w:p>
            <w:r>
              <w:t>6000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C6140</w:t>
            </w:r>
          </w:p>
        </w:tc>
        <w:tc>
          <w:tcPr>
            <w:vAlign w:val="center"/>
          </w:tcPr>
          <w:p>
            <w:r>
              <w:t>6110</w:t>
            </w:r>
          </w:p>
        </w:tc>
        <w:tc>
          <w:tcPr>
            <w:vAlign w:val="center"/>
          </w:tcPr>
          <w:p>
            <w:r>
              <w:t>4000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C6535</w:t>
            </w:r>
          </w:p>
        </w:tc>
        <w:tc>
          <w:tcPr>
            <w:vAlign w:val="center"/>
          </w:tcPr>
          <w:p>
            <w:r>
              <w:t>6500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C7230</w:t>
            </w:r>
          </w:p>
        </w:tc>
        <w:tc>
          <w:tcPr>
            <w:vAlign w:val="center"/>
          </w:tcPr>
          <w:p>
            <w:r>
              <w:t>7220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C8030</w:t>
            </w:r>
          </w:p>
        </w:tc>
        <w:tc>
          <w:tcPr>
            <w:vAlign w:val="center"/>
          </w:tcPr>
          <w:p>
            <w:r>
              <w:t>8000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C8730</w:t>
            </w:r>
          </w:p>
        </w:tc>
        <w:tc>
          <w:tcPr>
            <w:vAlign w:val="center"/>
          </w:tcPr>
          <w:p>
            <w:r>
              <w:t>8730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C9030</w:t>
            </w:r>
          </w:p>
        </w:tc>
        <w:tc>
          <w:tcPr>
            <w:vAlign w:val="center"/>
          </w:tcPr>
          <w:p>
            <w:r>
              <w:t>9000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420"/>
      </w:pPr>
      <w:bookmarkStart w:id="56" w:name="窗污染折减系数"/>
      <w:bookmarkEnd w:id="56"/>
    </w:p>
    <w:p>
      <w:pPr>
        <w:pStyle w:val="2"/>
        <w:ind w:left="432" w:hanging="432"/>
      </w:pPr>
      <w:bookmarkStart w:id="57" w:name="_Toc513555457"/>
      <w:bookmarkStart w:id="58" w:name="_Toc22152"/>
      <w:r>
        <w:rPr>
          <w:rFonts w:hint="eastAsia"/>
        </w:rPr>
        <w:t>采光</w:t>
      </w:r>
      <w:r>
        <w:t>效果分析</w:t>
      </w:r>
      <w:r>
        <w:rPr>
          <w:rFonts w:hint="eastAsia"/>
        </w:rPr>
        <w:t>彩图</w:t>
      </w:r>
      <w:bookmarkEnd w:id="57"/>
      <w:bookmarkEnd w:id="58"/>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pPr>
        <w:pStyle w:val="3"/>
        <w:ind w:firstLine="420"/>
        <w:jc w:val="center"/>
      </w:pPr>
      <w:bookmarkStart w:id="59" w:name="彩图"/>
      <w:bookmarkEnd w:id="59"/>
    </w:p>
    <w:p>
      <w:pPr>
        <w:pStyle w:val="3"/>
        <w:ind w:firstLine="360"/>
        <w:jc w:val="center"/>
        <w:rPr>
          <w:rFonts w:ascii="宋体" w:hAnsi="宋体"/>
          <w:sz w:val="18"/>
          <w:szCs w:val="18"/>
          <w:lang w:val="en-US"/>
        </w:rPr>
      </w:pPr>
      <w:r>
        <w:drawing>
          <wp:inline distT="0" distB="0" distL="0" distR="0">
            <wp:extent cx="4895850" cy="801052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8"/>
                    <a:stretch>
                      <a:fillRect/>
                    </a:stretch>
                  </pic:blipFill>
                  <pic:spPr>
                    <a:xfrm>
                      <a:off x="0" y="0"/>
                      <a:ext cx="4895850" cy="8010525"/>
                    </a:xfrm>
                    <a:prstGeom prst="rect">
                      <a:avLst/>
                    </a:prstGeom>
                  </pic:spPr>
                </pic:pic>
              </a:graphicData>
            </a:graphic>
          </wp:inline>
        </w:drawing>
      </w:r>
    </w:p>
    <w:p>
      <w:pPr>
        <w:pStyle w:val="3"/>
        <w:ind w:firstLine="360"/>
        <w:jc w:val="center"/>
        <w:rPr>
          <w:rFonts w:ascii="宋体" w:hAnsi="宋体"/>
          <w:sz w:val="18"/>
          <w:szCs w:val="18"/>
          <w:lang w:val="en-US"/>
        </w:rPr>
      </w:pPr>
      <w:r>
        <w:rPr>
          <w:rFonts w:ascii="宋体" w:hAnsi="宋体"/>
          <w:sz w:val="18"/>
          <w:szCs w:val="18"/>
          <w:lang w:val="en-US"/>
        </w:rPr>
        <w:t>1层</w:t>
      </w:r>
    </w:p>
    <w:p>
      <w:pPr>
        <w:pStyle w:val="3"/>
        <w:ind w:firstLine="360"/>
        <w:jc w:val="center"/>
        <w:rPr>
          <w:rFonts w:ascii="宋体" w:hAnsi="宋体"/>
          <w:sz w:val="18"/>
          <w:szCs w:val="18"/>
          <w:lang w:val="en-US"/>
        </w:rPr>
      </w:pPr>
      <w:r>
        <w:drawing>
          <wp:inline distT="0" distB="0" distL="0" distR="0">
            <wp:extent cx="5667375" cy="63246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9"/>
                    <a:stretch>
                      <a:fillRect/>
                    </a:stretch>
                  </pic:blipFill>
                  <pic:spPr>
                    <a:xfrm>
                      <a:off x="0" y="0"/>
                      <a:ext cx="5667375" cy="6324600"/>
                    </a:xfrm>
                    <a:prstGeom prst="rect">
                      <a:avLst/>
                    </a:prstGeom>
                  </pic:spPr>
                </pic:pic>
              </a:graphicData>
            </a:graphic>
          </wp:inline>
        </w:drawing>
      </w:r>
    </w:p>
    <w:p>
      <w:pPr>
        <w:pStyle w:val="3"/>
        <w:ind w:firstLine="360"/>
        <w:jc w:val="center"/>
        <w:rPr>
          <w:rFonts w:ascii="宋体" w:hAnsi="宋体"/>
          <w:sz w:val="18"/>
          <w:szCs w:val="18"/>
          <w:lang w:val="en-US"/>
        </w:rPr>
      </w:pPr>
      <w:r>
        <w:rPr>
          <w:rFonts w:ascii="宋体" w:hAnsi="宋体"/>
          <w:sz w:val="18"/>
          <w:szCs w:val="18"/>
          <w:lang w:val="en-US"/>
        </w:rPr>
        <w:t>2层</w:t>
      </w:r>
    </w:p>
    <w:p>
      <w:pPr>
        <w:pStyle w:val="3"/>
        <w:ind w:firstLine="360"/>
        <w:jc w:val="center"/>
        <w:rPr>
          <w:rFonts w:ascii="宋体" w:hAnsi="宋体"/>
          <w:sz w:val="18"/>
          <w:szCs w:val="18"/>
          <w:lang w:val="en-US"/>
        </w:rPr>
      </w:pPr>
      <w:r>
        <w:drawing>
          <wp:inline distT="0" distB="0" distL="0" distR="0">
            <wp:extent cx="5667375" cy="23622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0"/>
                    <a:stretch>
                      <a:fillRect/>
                    </a:stretch>
                  </pic:blipFill>
                  <pic:spPr>
                    <a:xfrm>
                      <a:off x="0" y="0"/>
                      <a:ext cx="5667375" cy="2362200"/>
                    </a:xfrm>
                    <a:prstGeom prst="rect">
                      <a:avLst/>
                    </a:prstGeom>
                  </pic:spPr>
                </pic:pic>
              </a:graphicData>
            </a:graphic>
          </wp:inline>
        </w:drawing>
      </w:r>
    </w:p>
    <w:p>
      <w:pPr>
        <w:pStyle w:val="3"/>
        <w:ind w:firstLine="360"/>
        <w:jc w:val="center"/>
        <w:rPr>
          <w:rFonts w:ascii="宋体" w:hAnsi="宋体"/>
          <w:sz w:val="18"/>
          <w:szCs w:val="18"/>
          <w:lang w:val="en-US"/>
        </w:rPr>
      </w:pPr>
      <w:r>
        <w:rPr>
          <w:rFonts w:ascii="宋体" w:hAnsi="宋体"/>
          <w:sz w:val="18"/>
          <w:szCs w:val="18"/>
          <w:lang w:val="en-US"/>
        </w:rPr>
        <w:t>3层</w:t>
      </w:r>
    </w:p>
    <w:p>
      <w:pPr>
        <w:pStyle w:val="3"/>
        <w:ind w:firstLine="360"/>
        <w:jc w:val="center"/>
        <w:rPr>
          <w:rFonts w:ascii="宋体" w:hAnsi="宋体"/>
          <w:sz w:val="18"/>
          <w:szCs w:val="18"/>
          <w:lang w:val="en-US"/>
        </w:rPr>
      </w:pPr>
      <w:r>
        <w:drawing>
          <wp:inline distT="0" distB="0" distL="0" distR="0">
            <wp:extent cx="5667375" cy="51339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1"/>
                    <a:stretch>
                      <a:fillRect/>
                    </a:stretch>
                  </pic:blipFill>
                  <pic:spPr>
                    <a:xfrm>
                      <a:off x="0" y="0"/>
                      <a:ext cx="5667375" cy="5133975"/>
                    </a:xfrm>
                    <a:prstGeom prst="rect">
                      <a:avLst/>
                    </a:prstGeom>
                  </pic:spPr>
                </pic:pic>
              </a:graphicData>
            </a:graphic>
          </wp:inline>
        </w:drawing>
      </w:r>
    </w:p>
    <w:p>
      <w:pPr>
        <w:pStyle w:val="3"/>
        <w:ind w:firstLine="360"/>
        <w:jc w:val="center"/>
        <w:rPr>
          <w:rFonts w:ascii="宋体" w:hAnsi="宋体"/>
          <w:sz w:val="18"/>
          <w:szCs w:val="18"/>
          <w:lang w:val="en-US"/>
        </w:rPr>
      </w:pPr>
      <w:r>
        <w:rPr>
          <w:rFonts w:ascii="宋体" w:hAnsi="宋体"/>
          <w:sz w:val="18"/>
          <w:szCs w:val="18"/>
          <w:lang w:val="en-US"/>
        </w:rPr>
        <w:t>4层</w:t>
      </w:r>
    </w:p>
    <w:p>
      <w:pPr>
        <w:pStyle w:val="3"/>
        <w:ind w:firstLine="360"/>
        <w:jc w:val="center"/>
        <w:rPr>
          <w:rFonts w:ascii="宋体" w:hAnsi="宋体"/>
          <w:sz w:val="18"/>
          <w:szCs w:val="18"/>
          <w:lang w:val="en-US"/>
        </w:rPr>
      </w:pPr>
      <w:r>
        <w:drawing>
          <wp:inline distT="0" distB="0" distL="0" distR="0">
            <wp:extent cx="5667375" cy="37052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2"/>
                    <a:stretch>
                      <a:fillRect/>
                    </a:stretch>
                  </pic:blipFill>
                  <pic:spPr>
                    <a:xfrm>
                      <a:off x="0" y="0"/>
                      <a:ext cx="5667375" cy="3705225"/>
                    </a:xfrm>
                    <a:prstGeom prst="rect">
                      <a:avLst/>
                    </a:prstGeom>
                  </pic:spPr>
                </pic:pic>
              </a:graphicData>
            </a:graphic>
          </wp:inline>
        </w:drawing>
      </w:r>
    </w:p>
    <w:p>
      <w:pPr>
        <w:pStyle w:val="3"/>
        <w:ind w:firstLine="360"/>
        <w:jc w:val="center"/>
        <w:rPr>
          <w:rFonts w:ascii="宋体" w:hAnsi="宋体"/>
          <w:sz w:val="18"/>
          <w:szCs w:val="18"/>
          <w:lang w:val="en-US"/>
        </w:rPr>
      </w:pPr>
      <w:r>
        <w:rPr>
          <w:rFonts w:ascii="宋体" w:hAnsi="宋体"/>
          <w:sz w:val="18"/>
          <w:szCs w:val="18"/>
          <w:lang w:val="en-US"/>
        </w:rPr>
        <w:t>5层</w:t>
      </w:r>
    </w:p>
    <w:p>
      <w:pPr>
        <w:pStyle w:val="3"/>
        <w:ind w:firstLine="360"/>
        <w:jc w:val="center"/>
        <w:rPr>
          <w:rFonts w:ascii="宋体" w:hAnsi="宋体"/>
          <w:sz w:val="18"/>
          <w:szCs w:val="18"/>
          <w:lang w:val="en-US"/>
        </w:rPr>
      </w:pPr>
    </w:p>
    <w:p>
      <w:pPr>
        <w:pStyle w:val="2"/>
        <w:ind w:left="432" w:hanging="432"/>
      </w:pPr>
      <w:bookmarkStart w:id="60" w:name="_Toc23631"/>
      <w:r>
        <w:rPr>
          <w:rFonts w:hint="eastAsia"/>
        </w:rPr>
        <w:t>采光达标</w:t>
      </w:r>
      <w:r>
        <w:t>率</w:t>
      </w:r>
      <w:r>
        <w:rPr>
          <w:rFonts w:hint="eastAsia"/>
        </w:rPr>
        <w:t>统计</w:t>
      </w:r>
      <w:bookmarkEnd w:id="60"/>
    </w:p>
    <w:p>
      <w:pPr>
        <w:pStyle w:val="3"/>
        <w:ind w:firstLine="420"/>
        <w:rPr>
          <w:lang w:val="en-US"/>
        </w:rPr>
      </w:pPr>
      <w:r>
        <w:rPr>
          <w:rFonts w:hint="eastAsia"/>
          <w:lang w:val="en-US"/>
        </w:rPr>
        <w:t>通过对</w:t>
      </w:r>
      <w:r>
        <w:rPr>
          <w:lang w:val="en-US"/>
        </w:rPr>
        <w:t>项目</w:t>
      </w:r>
      <w:r>
        <w:rPr>
          <w:rFonts w:hint="eastAsia"/>
          <w:lang w:val="en-US"/>
        </w:rPr>
        <w:t>中</w:t>
      </w:r>
      <w:r>
        <w:rPr>
          <w:lang w:val="en-US"/>
        </w:rPr>
        <w:t>主要功能房间采光系数</w:t>
      </w:r>
      <w:r>
        <w:rPr>
          <w:rFonts w:hint="eastAsia"/>
          <w:lang w:val="en-US"/>
        </w:rPr>
        <w:t>的</w:t>
      </w:r>
      <w:r>
        <w:rPr>
          <w:lang w:val="en-US"/>
        </w:rPr>
        <w:t>计算</w:t>
      </w:r>
      <w:r>
        <w:rPr>
          <w:rFonts w:hint="eastAsia"/>
          <w:lang w:val="en-US"/>
        </w:rPr>
        <w:t>，求得</w:t>
      </w:r>
      <w:r>
        <w:t>各个主要功能房间的达标面积</w:t>
      </w:r>
      <w:r>
        <w:rPr>
          <w:rFonts w:hint="eastAsia"/>
        </w:rPr>
        <w:t>，</w:t>
      </w:r>
      <w:r>
        <w:t>统计全部达标面积除以建筑主要功能房间的总面积，</w:t>
      </w:r>
      <w:r>
        <w:rPr>
          <w:rFonts w:hint="eastAsia"/>
        </w:rPr>
        <w:t>最终</w:t>
      </w:r>
      <w:r>
        <w:t>得到单体建筑的达标率</w:t>
      </w:r>
      <w:r>
        <w:rPr>
          <w:rFonts w:hint="eastAsia"/>
        </w:rPr>
        <w:t>，</w:t>
      </w:r>
      <w:r>
        <w:t>如下表所示：</w:t>
      </w:r>
    </w:p>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75"/>
        <w:gridCol w:w="311"/>
        <w:gridCol w:w="792"/>
        <w:gridCol w:w="509"/>
        <w:gridCol w:w="566"/>
        <w:gridCol w:w="792"/>
        <w:gridCol w:w="56"/>
        <w:gridCol w:w="848"/>
        <w:gridCol w:w="539"/>
        <w:gridCol w:w="592"/>
        <w:gridCol w:w="653"/>
        <w:gridCol w:w="422"/>
        <w:gridCol w:w="823"/>
        <w:gridCol w:w="252"/>
        <w:gridCol w:w="990"/>
        <w:gridCol w:w="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pPr>
              <w:jc w:val="center"/>
            </w:pPr>
            <w:r>
              <w:t>楼层</w:t>
            </w:r>
          </w:p>
        </w:tc>
        <w:tc>
          <w:tcPr>
            <w:gridSpan w:val="2"/>
            <w:shd w:val="clear" w:color="auto" w:fill="E6E6E6"/>
            <w:vAlign w:val="center"/>
          </w:tcPr>
          <w:p>
            <w:pPr>
              <w:jc w:val="center"/>
            </w:pPr>
            <w:r>
              <w:t>房间</w:t>
            </w:r>
            <w:r>
              <w:br w:type="textWrapping"/>
            </w:r>
            <w:r>
              <w:t>编号</w:t>
            </w:r>
          </w:p>
        </w:tc>
        <w:tc>
          <w:tcPr>
            <w:gridSpan w:val="2"/>
            <w:shd w:val="clear" w:color="auto" w:fill="E6E6E6"/>
            <w:vAlign w:val="center"/>
          </w:tcPr>
          <w:p>
            <w:pPr>
              <w:jc w:val="center"/>
            </w:pPr>
            <w:r>
              <w:t>房间类型</w:t>
            </w:r>
          </w:p>
        </w:tc>
        <w:tc>
          <w:tcPr>
            <w:gridSpan w:val="2"/>
            <w:shd w:val="clear" w:color="auto" w:fill="E6E6E6"/>
            <w:vAlign w:val="center"/>
          </w:tcPr>
          <w:p>
            <w:pPr>
              <w:jc w:val="center"/>
            </w:pPr>
            <w:r>
              <w:t>采光</w:t>
            </w:r>
            <w:r>
              <w:br w:type="textWrapping"/>
            </w:r>
            <w:r>
              <w:t>等级</w:t>
            </w:r>
          </w:p>
        </w:tc>
        <w:tc>
          <w:tcPr>
            <w:shd w:val="clear" w:color="auto" w:fill="E6E6E6"/>
            <w:vAlign w:val="center"/>
          </w:tcPr>
          <w:p>
            <w:pPr>
              <w:jc w:val="center"/>
            </w:pPr>
            <w:r>
              <w:t>采光</w:t>
            </w:r>
            <w:r>
              <w:br w:type="textWrapping"/>
            </w:r>
            <w:r>
              <w:t>类型</w:t>
            </w:r>
          </w:p>
        </w:tc>
        <w:tc>
          <w:tcPr>
            <w:gridSpan w:val="2"/>
            <w:shd w:val="clear" w:color="auto" w:fill="E6E6E6"/>
            <w:vAlign w:val="center"/>
          </w:tcPr>
          <w:p>
            <w:pPr>
              <w:jc w:val="center"/>
            </w:pPr>
            <w:r>
              <w:t>采光系数</w:t>
            </w:r>
            <w:r>
              <w:br w:type="textWrapping"/>
            </w:r>
            <w:r>
              <w:t>要求(%)</w:t>
            </w:r>
          </w:p>
        </w:tc>
        <w:tc>
          <w:tcPr>
            <w:gridSpan w:val="2"/>
            <w:shd w:val="clear" w:color="auto" w:fill="E6E6E6"/>
            <w:vAlign w:val="center"/>
          </w:tcPr>
          <w:p>
            <w:pPr>
              <w:jc w:val="center"/>
            </w:pPr>
            <w:r>
              <w:t>房间面积</w:t>
            </w:r>
            <w:r>
              <w:br w:type="textWrapping"/>
            </w:r>
            <w:r>
              <w:t>(m2)</w:t>
            </w:r>
          </w:p>
        </w:tc>
        <w:tc>
          <w:tcPr>
            <w:gridSpan w:val="2"/>
            <w:shd w:val="clear" w:color="auto" w:fill="E6E6E6"/>
            <w:vAlign w:val="center"/>
          </w:tcPr>
          <w:p>
            <w:pPr>
              <w:jc w:val="center"/>
            </w:pPr>
            <w:r>
              <w:t>达标面积</w:t>
            </w:r>
            <w:r>
              <w:br w:type="textWrapping"/>
            </w:r>
            <w:r>
              <w:t>(m2)</w:t>
            </w:r>
          </w:p>
        </w:tc>
        <w:tc>
          <w:tcPr>
            <w:shd w:val="clear" w:color="auto" w:fill="E6E6E6"/>
            <w:vAlign w:val="center"/>
          </w:tcPr>
          <w:p>
            <w:pPr>
              <w:jc w:val="center"/>
            </w:pPr>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1</w:t>
            </w:r>
          </w:p>
        </w:tc>
        <w:tc>
          <w:tcPr>
            <w:gridSpan w:val="2"/>
            <w:vAlign w:val="center"/>
          </w:tcPr>
          <w:p>
            <w:pPr>
              <w:jc w:val="center"/>
            </w:pPr>
            <w:r>
              <w:t>1001</w:t>
            </w:r>
          </w:p>
        </w:tc>
        <w:tc>
          <w:tcPr>
            <w:gridSpan w:val="2"/>
            <w:vAlign w:val="center"/>
          </w:tcPr>
          <w:p>
            <w:pPr>
              <w:jc w:val="center"/>
            </w:pPr>
            <w:r>
              <w:t>办公室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299.83</w:t>
            </w:r>
          </w:p>
        </w:tc>
        <w:tc>
          <w:tcPr>
            <w:gridSpan w:val="2"/>
            <w:vAlign w:val="center"/>
          </w:tcPr>
          <w:p>
            <w:pPr>
              <w:jc w:val="center"/>
            </w:pPr>
            <w:r>
              <w:t>299.83</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X001</w:t>
            </w:r>
          </w:p>
        </w:tc>
        <w:tc>
          <w:tcPr>
            <w:gridSpan w:val="2"/>
            <w:vAlign w:val="center"/>
          </w:tcPr>
          <w:p>
            <w:pPr>
              <w:jc w:val="center"/>
            </w:pPr>
            <w:r>
              <w:t>办公室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369.90</w:t>
            </w:r>
          </w:p>
        </w:tc>
        <w:tc>
          <w:tcPr>
            <w:gridSpan w:val="2"/>
            <w:vAlign w:val="center"/>
          </w:tcPr>
          <w:p>
            <w:pPr>
              <w:jc w:val="center"/>
            </w:pPr>
            <w:r>
              <w:t>369.90</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2</w:t>
            </w:r>
          </w:p>
        </w:tc>
        <w:tc>
          <w:tcPr>
            <w:gridSpan w:val="2"/>
            <w:vAlign w:val="center"/>
          </w:tcPr>
          <w:p>
            <w:pPr>
              <w:jc w:val="center"/>
            </w:pPr>
            <w:r>
              <w:t>10010</w:t>
            </w:r>
          </w:p>
        </w:tc>
        <w:tc>
          <w:tcPr>
            <w:gridSpan w:val="2"/>
            <w:vAlign w:val="center"/>
          </w:tcPr>
          <w:p>
            <w:pPr>
              <w:jc w:val="center"/>
            </w:pPr>
            <w:r>
              <w:t>办公室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220.52</w:t>
            </w:r>
          </w:p>
        </w:tc>
        <w:tc>
          <w:tcPr>
            <w:gridSpan w:val="2"/>
            <w:vAlign w:val="center"/>
          </w:tcPr>
          <w:p>
            <w:pPr>
              <w:jc w:val="center"/>
            </w:pPr>
            <w:r>
              <w:t>220.52</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2001</w:t>
            </w:r>
          </w:p>
        </w:tc>
        <w:tc>
          <w:tcPr>
            <w:gridSpan w:val="2"/>
            <w:vAlign w:val="center"/>
          </w:tcPr>
          <w:p>
            <w:pPr>
              <w:jc w:val="center"/>
            </w:pPr>
            <w:r>
              <w:t>办公室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492.38</w:t>
            </w:r>
          </w:p>
        </w:tc>
        <w:tc>
          <w:tcPr>
            <w:gridSpan w:val="2"/>
            <w:vAlign w:val="center"/>
          </w:tcPr>
          <w:p>
            <w:pPr>
              <w:jc w:val="center"/>
            </w:pPr>
            <w:r>
              <w:t>333.36</w:t>
            </w:r>
          </w:p>
        </w:tc>
        <w:tc>
          <w:tcPr>
            <w:vAlign w:val="center"/>
          </w:tcPr>
          <w:p>
            <w:pPr>
              <w:jc w:val="center"/>
            </w:pPr>
            <w:r>
              <w:t>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Align w:val="center"/>
          </w:tcPr>
          <w:p>
            <w:pPr>
              <w:jc w:val="center"/>
            </w:pPr>
            <w:r>
              <w:t>3</w:t>
            </w:r>
          </w:p>
        </w:tc>
        <w:tc>
          <w:tcPr>
            <w:gridSpan w:val="2"/>
            <w:vAlign w:val="center"/>
          </w:tcPr>
          <w:p>
            <w:pPr>
              <w:jc w:val="center"/>
            </w:pPr>
            <w:r>
              <w:t>3001</w:t>
            </w:r>
          </w:p>
        </w:tc>
        <w:tc>
          <w:tcPr>
            <w:gridSpan w:val="2"/>
            <w:vAlign w:val="center"/>
          </w:tcPr>
          <w:p>
            <w:pPr>
              <w:jc w:val="center"/>
            </w:pPr>
            <w:r>
              <w:t>办公室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177.58</w:t>
            </w:r>
          </w:p>
        </w:tc>
        <w:tc>
          <w:tcPr>
            <w:gridSpan w:val="2"/>
            <w:vAlign w:val="center"/>
          </w:tcPr>
          <w:p>
            <w:pPr>
              <w:jc w:val="center"/>
            </w:pPr>
            <w:r>
              <w:t>168.98</w:t>
            </w:r>
          </w:p>
        </w:tc>
        <w:tc>
          <w:tcPr>
            <w:vAlign w:val="center"/>
          </w:tcPr>
          <w:p>
            <w:pPr>
              <w:jc w:val="center"/>
            </w:pPr>
            <w:r>
              <w:t>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Align w:val="center"/>
          </w:tcPr>
          <w:p>
            <w:pPr>
              <w:jc w:val="center"/>
            </w:pPr>
            <w:r>
              <w:t>4</w:t>
            </w:r>
          </w:p>
        </w:tc>
        <w:tc>
          <w:tcPr>
            <w:gridSpan w:val="2"/>
            <w:vAlign w:val="center"/>
          </w:tcPr>
          <w:p>
            <w:pPr>
              <w:jc w:val="center"/>
            </w:pPr>
            <w:r>
              <w:t>4001</w:t>
            </w:r>
          </w:p>
        </w:tc>
        <w:tc>
          <w:tcPr>
            <w:gridSpan w:val="2"/>
            <w:vAlign w:val="center"/>
          </w:tcPr>
          <w:p>
            <w:pPr>
              <w:jc w:val="center"/>
            </w:pPr>
            <w:r>
              <w:t>办公室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409.46</w:t>
            </w:r>
          </w:p>
        </w:tc>
        <w:tc>
          <w:tcPr>
            <w:gridSpan w:val="2"/>
            <w:vAlign w:val="center"/>
          </w:tcPr>
          <w:p>
            <w:pPr>
              <w:jc w:val="center"/>
            </w:pPr>
            <w:r>
              <w:t>142.77</w:t>
            </w:r>
          </w:p>
        </w:tc>
        <w:tc>
          <w:tcPr>
            <w:vAlign w:val="center"/>
          </w:tcPr>
          <w:p>
            <w:pPr>
              <w:jc w:val="center"/>
            </w:pPr>
            <w:r>
              <w:t>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Align w:val="center"/>
          </w:tcPr>
          <w:p>
            <w:pPr>
              <w:jc w:val="center"/>
            </w:pPr>
            <w:r>
              <w:t>5</w:t>
            </w:r>
          </w:p>
        </w:tc>
        <w:tc>
          <w:tcPr>
            <w:gridSpan w:val="2"/>
            <w:vAlign w:val="center"/>
          </w:tcPr>
          <w:p>
            <w:pPr>
              <w:jc w:val="center"/>
            </w:pPr>
            <w:r>
              <w:t>5001</w:t>
            </w:r>
          </w:p>
        </w:tc>
        <w:tc>
          <w:tcPr>
            <w:gridSpan w:val="2"/>
            <w:vAlign w:val="center"/>
          </w:tcPr>
          <w:p>
            <w:pPr>
              <w:jc w:val="center"/>
            </w:pPr>
            <w:r>
              <w:t>办公室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582.71</w:t>
            </w:r>
          </w:p>
        </w:tc>
        <w:tc>
          <w:tcPr>
            <w:gridSpan w:val="2"/>
            <w:vAlign w:val="center"/>
          </w:tcPr>
          <w:p>
            <w:pPr>
              <w:jc w:val="center"/>
            </w:pPr>
            <w:r>
              <w:t>262.97</w:t>
            </w:r>
          </w:p>
        </w:tc>
        <w:tc>
          <w:tcPr>
            <w:vAlign w:val="center"/>
          </w:tcPr>
          <w:p>
            <w:pPr>
              <w:jc w:val="center"/>
            </w:pPr>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Merge w:val="restart"/>
            <w:shd w:val="clear" w:color="auto" w:fill="E6E6E6"/>
            <w:vAlign w:val="center"/>
          </w:tcPr>
          <w:p>
            <w:pPr>
              <w:jc w:val="center"/>
            </w:pPr>
            <w:r>
              <w:t>房间类型</w:t>
            </w:r>
          </w:p>
        </w:tc>
        <w:tc>
          <w:tcPr>
            <w:gridSpan w:val="2"/>
            <w:vMerge w:val="restart"/>
            <w:shd w:val="clear" w:color="auto" w:fill="E6E6E6"/>
            <w:vAlign w:val="center"/>
          </w:tcPr>
          <w:p>
            <w:pPr>
              <w:jc w:val="center"/>
            </w:pPr>
            <w:r>
              <w:t>采光类型</w:t>
            </w:r>
          </w:p>
        </w:tc>
        <w:tc>
          <w:tcPr>
            <w:gridSpan w:val="5"/>
            <w:shd w:val="clear" w:color="auto" w:fill="E6E6E6"/>
            <w:vAlign w:val="center"/>
          </w:tcPr>
          <w:p>
            <w:pPr>
              <w:jc w:val="center"/>
            </w:pPr>
            <w:r>
              <w:t>标准值</w:t>
            </w:r>
          </w:p>
        </w:tc>
        <w:tc>
          <w:tcPr>
            <w:gridSpan w:val="4"/>
            <w:shd w:val="clear" w:color="auto" w:fill="E6E6E6"/>
            <w:vAlign w:val="center"/>
          </w:tcPr>
          <w:p>
            <w:pPr>
              <w:jc w:val="center"/>
            </w:pPr>
            <w:r>
              <w:t>面积(m2)</w:t>
            </w:r>
          </w:p>
        </w:tc>
        <w:tc>
          <w:tcPr>
            <w:gridSpan w:val="3"/>
            <w:vMerge w:val="restart"/>
            <w:shd w:val="clear" w:color="auto" w:fill="E6E6E6"/>
            <w:vAlign w:val="center"/>
          </w:tcPr>
          <w:p>
            <w:pPr>
              <w:jc w:val="center"/>
            </w:pPr>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Merge w:val="continue"/>
            <w:shd w:val="clear" w:color="auto" w:fill="E6E6E6"/>
            <w:vAlign w:val="center"/>
          </w:tcPr>
          <w:p>
            <w:pPr>
              <w:jc w:val="center"/>
            </w:pPr>
          </w:p>
        </w:tc>
        <w:tc>
          <w:tcPr>
            <w:gridSpan w:val="2"/>
            <w:vMerge w:val="continue"/>
            <w:shd w:val="clear" w:color="auto" w:fill="E6E6E6"/>
            <w:vAlign w:val="center"/>
          </w:tcPr>
          <w:p>
            <w:pPr>
              <w:jc w:val="center"/>
            </w:pPr>
          </w:p>
        </w:tc>
        <w:tc>
          <w:tcPr>
            <w:gridSpan w:val="2"/>
            <w:shd w:val="clear" w:color="auto" w:fill="E6E6E6"/>
            <w:vAlign w:val="center"/>
          </w:tcPr>
          <w:p>
            <w:pPr>
              <w:jc w:val="center"/>
            </w:pPr>
            <w:r>
              <w:t>平均采光</w:t>
            </w:r>
            <w:r>
              <w:br w:type="textWrapping"/>
            </w:r>
            <w:r>
              <w:t>系数(%)</w:t>
            </w:r>
          </w:p>
        </w:tc>
        <w:tc>
          <w:tcPr>
            <w:gridSpan w:val="3"/>
            <w:shd w:val="clear" w:color="auto" w:fill="E6E6E6"/>
            <w:vAlign w:val="center"/>
          </w:tcPr>
          <w:p>
            <w:pPr>
              <w:jc w:val="center"/>
            </w:pPr>
            <w:r>
              <w:t>室内天然光</w:t>
            </w:r>
            <w:r>
              <w:br w:type="textWrapping"/>
            </w:r>
            <w:r>
              <w:t>设计照度(Lx)</w:t>
            </w:r>
          </w:p>
        </w:tc>
        <w:tc>
          <w:tcPr>
            <w:gridSpan w:val="2"/>
            <w:shd w:val="clear" w:color="auto" w:fill="E6E6E6"/>
            <w:vAlign w:val="center"/>
          </w:tcPr>
          <w:p>
            <w:pPr>
              <w:jc w:val="center"/>
            </w:pPr>
            <w:r>
              <w:t>总面积</w:t>
            </w:r>
          </w:p>
        </w:tc>
        <w:tc>
          <w:tcPr>
            <w:gridSpan w:val="2"/>
            <w:shd w:val="clear" w:color="auto" w:fill="E6E6E6"/>
            <w:vAlign w:val="center"/>
          </w:tcPr>
          <w:p>
            <w:pPr>
              <w:jc w:val="center"/>
            </w:pPr>
            <w:r>
              <w:t>达标面积</w:t>
            </w:r>
          </w:p>
        </w:tc>
        <w:tc>
          <w:tcPr>
            <w:gridSpan w:val="3"/>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办公室</w:t>
            </w:r>
          </w:p>
        </w:tc>
        <w:tc>
          <w:tcPr>
            <w:gridSpan w:val="2"/>
            <w:vAlign w:val="center"/>
          </w:tcPr>
          <w:p>
            <w:r>
              <w:t>侧面</w:t>
            </w:r>
          </w:p>
        </w:tc>
        <w:tc>
          <w:tcPr>
            <w:gridSpan w:val="2"/>
            <w:vAlign w:val="center"/>
          </w:tcPr>
          <w:p>
            <w:r>
              <w:t>3.00</w:t>
            </w:r>
          </w:p>
        </w:tc>
        <w:tc>
          <w:tcPr>
            <w:gridSpan w:val="3"/>
            <w:vAlign w:val="center"/>
          </w:tcPr>
          <w:p>
            <w:r>
              <w:t>450</w:t>
            </w:r>
          </w:p>
        </w:tc>
        <w:tc>
          <w:tcPr>
            <w:gridSpan w:val="2"/>
            <w:vAlign w:val="center"/>
          </w:tcPr>
          <w:p>
            <w:r>
              <w:t>2552.37</w:t>
            </w:r>
          </w:p>
        </w:tc>
        <w:tc>
          <w:tcPr>
            <w:gridSpan w:val="2"/>
            <w:vAlign w:val="center"/>
          </w:tcPr>
          <w:p>
            <w:r>
              <w:t>1798.33</w:t>
            </w:r>
          </w:p>
        </w:tc>
        <w:tc>
          <w:tcPr>
            <w:gridSpan w:val="3"/>
            <w:vAlign w:val="center"/>
          </w:tcPr>
          <w:p>
            <w:r>
              <w:t>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9"/>
            <w:vAlign w:val="center"/>
          </w:tcPr>
          <w:p>
            <w:r>
              <w:t>总计达标面积比例(%)</w:t>
            </w:r>
          </w:p>
        </w:tc>
        <w:tc>
          <w:tcPr>
            <w:gridSpan w:val="7"/>
            <w:vAlign w:val="center"/>
          </w:tcPr>
          <w:p>
            <w:r>
              <w:t>70</w:t>
            </w:r>
          </w:p>
        </w:tc>
      </w:tr>
    </w:tbl>
    <w:p>
      <w:bookmarkStart w:id="61" w:name="达标率表格"/>
      <w:bookmarkEnd w:id="61"/>
    </w:p>
    <w:p>
      <w:pPr>
        <w:pStyle w:val="3"/>
        <w:ind w:firstLine="0" w:firstLineChars="0"/>
        <w:jc w:val="center"/>
        <w:rPr>
          <w:kern w:val="2"/>
          <w:szCs w:val="24"/>
          <w:lang w:val="en-US"/>
        </w:rPr>
      </w:pPr>
    </w:p>
    <w:p>
      <w:pPr>
        <w:pStyle w:val="2"/>
        <w:ind w:left="432" w:hanging="432"/>
      </w:pPr>
      <w:bookmarkStart w:id="62" w:name="_Toc15924"/>
      <w:r>
        <w:rPr>
          <w:rFonts w:hint="eastAsia"/>
        </w:rPr>
        <w:t>达标率彩图</w:t>
      </w:r>
      <w:bookmarkEnd w:id="62"/>
    </w:p>
    <w:p>
      <w:pPr>
        <w:pStyle w:val="3"/>
        <w:ind w:firstLine="420"/>
        <w:rPr>
          <w:lang w:val="en-US"/>
        </w:rPr>
      </w:pPr>
      <w:r>
        <w:rPr>
          <w:rFonts w:hint="eastAsia"/>
          <w:lang w:val="en-US"/>
        </w:rPr>
        <w:t>采光达标率分析彩图可以直观地反应出建筑内各个房间的采光达标</w:t>
      </w:r>
      <w:r>
        <w:rPr>
          <w:lang w:val="en-US"/>
        </w:rPr>
        <w:t>情况</w:t>
      </w:r>
      <w:r>
        <w:rPr>
          <w:rFonts w:hint="eastAsia"/>
          <w:lang w:val="en-US"/>
        </w:rPr>
        <w:t>。</w:t>
      </w:r>
    </w:p>
    <w:p>
      <w:bookmarkStart w:id="63" w:name="达标图"/>
      <w:bookmarkEnd w:id="63"/>
    </w:p>
    <w:p>
      <w:pPr>
        <w:pStyle w:val="3"/>
        <w:ind w:firstLine="0" w:firstLineChars="0"/>
        <w:jc w:val="center"/>
        <w:rPr>
          <w:rFonts w:ascii="宋体" w:hAnsi="宋体"/>
          <w:sz w:val="18"/>
          <w:szCs w:val="18"/>
          <w:lang w:val="en-US"/>
        </w:rPr>
      </w:pPr>
      <w:r>
        <w:drawing>
          <wp:inline distT="0" distB="0" distL="0" distR="0">
            <wp:extent cx="4895850" cy="80105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3"/>
                    <a:stretch>
                      <a:fillRect/>
                    </a:stretch>
                  </pic:blipFill>
                  <pic:spPr>
                    <a:xfrm>
                      <a:off x="0" y="0"/>
                      <a:ext cx="4895850" cy="8010525"/>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1层</w:t>
      </w:r>
    </w:p>
    <w:p>
      <w:pPr>
        <w:pStyle w:val="3"/>
        <w:ind w:firstLine="0" w:firstLineChars="0"/>
        <w:jc w:val="center"/>
        <w:rPr>
          <w:rFonts w:ascii="宋体" w:hAnsi="宋体"/>
          <w:sz w:val="18"/>
          <w:szCs w:val="18"/>
          <w:lang w:val="en-US"/>
        </w:rPr>
      </w:pPr>
      <w:r>
        <w:drawing>
          <wp:inline distT="0" distB="0" distL="0" distR="0">
            <wp:extent cx="5667375" cy="632460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4"/>
                    <a:stretch>
                      <a:fillRect/>
                    </a:stretch>
                  </pic:blipFill>
                  <pic:spPr>
                    <a:xfrm>
                      <a:off x="0" y="0"/>
                      <a:ext cx="5667375" cy="632460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2层</w:t>
      </w:r>
    </w:p>
    <w:p>
      <w:pPr>
        <w:pStyle w:val="3"/>
        <w:ind w:firstLine="0" w:firstLineChars="0"/>
        <w:jc w:val="center"/>
        <w:rPr>
          <w:rFonts w:ascii="宋体" w:hAnsi="宋体"/>
          <w:sz w:val="18"/>
          <w:szCs w:val="18"/>
          <w:lang w:val="en-US"/>
        </w:rPr>
      </w:pPr>
      <w:r>
        <w:drawing>
          <wp:inline distT="0" distB="0" distL="0" distR="0">
            <wp:extent cx="5667375" cy="236220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5"/>
                    <a:stretch>
                      <a:fillRect/>
                    </a:stretch>
                  </pic:blipFill>
                  <pic:spPr>
                    <a:xfrm>
                      <a:off x="0" y="0"/>
                      <a:ext cx="5667375" cy="236220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3层</w:t>
      </w:r>
    </w:p>
    <w:p>
      <w:pPr>
        <w:pStyle w:val="3"/>
        <w:ind w:firstLine="0" w:firstLineChars="0"/>
        <w:jc w:val="center"/>
        <w:rPr>
          <w:rFonts w:ascii="宋体" w:hAnsi="宋体"/>
          <w:sz w:val="18"/>
          <w:szCs w:val="18"/>
          <w:lang w:val="en-US"/>
        </w:rPr>
      </w:pPr>
      <w:r>
        <w:drawing>
          <wp:inline distT="0" distB="0" distL="0" distR="0">
            <wp:extent cx="5667375" cy="513397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6"/>
                    <a:stretch>
                      <a:fillRect/>
                    </a:stretch>
                  </pic:blipFill>
                  <pic:spPr>
                    <a:xfrm>
                      <a:off x="0" y="0"/>
                      <a:ext cx="5667375" cy="5133975"/>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4层</w:t>
      </w:r>
    </w:p>
    <w:p>
      <w:pPr>
        <w:pStyle w:val="3"/>
        <w:ind w:firstLine="0" w:firstLineChars="0"/>
        <w:jc w:val="center"/>
        <w:rPr>
          <w:rFonts w:ascii="宋体" w:hAnsi="宋体"/>
          <w:sz w:val="18"/>
          <w:szCs w:val="18"/>
          <w:lang w:val="en-US"/>
        </w:rPr>
      </w:pPr>
      <w:r>
        <w:drawing>
          <wp:inline distT="0" distB="0" distL="0" distR="0">
            <wp:extent cx="5667375" cy="37052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17"/>
                    <a:stretch>
                      <a:fillRect/>
                    </a:stretch>
                  </pic:blipFill>
                  <pic:spPr>
                    <a:xfrm>
                      <a:off x="0" y="0"/>
                      <a:ext cx="5667375" cy="3705225"/>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5层</w:t>
      </w:r>
    </w:p>
    <w:p>
      <w:pPr>
        <w:pStyle w:val="3"/>
        <w:ind w:firstLine="0" w:firstLineChars="0"/>
        <w:jc w:val="center"/>
        <w:rPr>
          <w:rFonts w:ascii="宋体" w:hAnsi="宋体"/>
          <w:sz w:val="18"/>
          <w:szCs w:val="18"/>
          <w:lang w:val="en-US"/>
        </w:rPr>
      </w:pPr>
    </w:p>
    <w:p>
      <w:pPr>
        <w:pStyle w:val="2"/>
        <w:ind w:left="432" w:hanging="432"/>
      </w:pPr>
      <w:bookmarkStart w:id="64" w:name="_Toc6600"/>
      <w:r>
        <w:rPr>
          <w:rFonts w:hint="eastAsia"/>
        </w:rPr>
        <w:t>评价结论</w:t>
      </w:r>
      <w:bookmarkEnd w:id="64"/>
    </w:p>
    <w:p>
      <w:pPr>
        <w:ind w:firstLine="420" w:firstLineChars="200"/>
        <w:jc w:val="left"/>
        <w:rPr>
          <w:sz w:val="21"/>
          <w:lang w:val="en-US"/>
        </w:rPr>
      </w:pPr>
      <w:r>
        <w:rPr>
          <w:sz w:val="21"/>
        </w:rPr>
        <w:t>《绿色建筑评价标准》GB/T 50378-2014的8.2.6条</w:t>
      </w:r>
      <w:r>
        <w:rPr>
          <w:rFonts w:hint="eastAsia"/>
          <w:sz w:val="21"/>
        </w:rPr>
        <w:t>对</w:t>
      </w:r>
      <w:r>
        <w:rPr>
          <w:sz w:val="21"/>
        </w:rPr>
        <w:t>公共建筑主要功能房间的采光系数达标面积比例做出要求。本项目</w:t>
      </w:r>
      <w:r>
        <w:rPr>
          <w:rFonts w:hint="eastAsia"/>
          <w:sz w:val="21"/>
        </w:rPr>
        <w:t>通过对</w:t>
      </w:r>
      <w:r>
        <w:rPr>
          <w:sz w:val="21"/>
        </w:rPr>
        <w:t>建筑室内空间天然采光</w:t>
      </w:r>
      <w:r>
        <w:rPr>
          <w:rFonts w:hint="eastAsia"/>
          <w:sz w:val="21"/>
        </w:rPr>
        <w:t>达标</w:t>
      </w:r>
      <w:r>
        <w:rPr>
          <w:sz w:val="21"/>
        </w:rPr>
        <w:t>面积比例进行</w:t>
      </w:r>
      <w:r>
        <w:rPr>
          <w:rFonts w:hint="eastAsia"/>
          <w:sz w:val="21"/>
        </w:rPr>
        <w:t>分析</w:t>
      </w:r>
      <w:r>
        <w:rPr>
          <w:sz w:val="21"/>
        </w:rPr>
        <w:t>计算</w:t>
      </w:r>
      <w:r>
        <w:rPr>
          <w:rFonts w:hint="eastAsia"/>
          <w:sz w:val="21"/>
        </w:rPr>
        <w:t>，</w:t>
      </w:r>
      <w:r>
        <w:rPr>
          <w:sz w:val="21"/>
        </w:rPr>
        <w:t>可知此项得分情况</w:t>
      </w:r>
      <w:r>
        <w:rPr>
          <w:rFonts w:hint="eastAsia"/>
          <w:sz w:val="21"/>
        </w:rPr>
        <w:t>，如下表</w:t>
      </w:r>
      <w:r>
        <w:rPr>
          <w:sz w:val="21"/>
        </w:rPr>
        <w:t>所示：</w:t>
      </w:r>
    </w:p>
    <w:tbl>
      <w:tblPr>
        <w:tblStyle w:val="22"/>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3392"/>
        <w:gridCol w:w="1966"/>
        <w:gridCol w:w="12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23" w:type="dxa"/>
            <w:shd w:val="clear" w:color="auto" w:fill="E6E6E6"/>
            <w:vAlign w:val="center"/>
          </w:tcPr>
          <w:p>
            <w:pPr>
              <w:pStyle w:val="3"/>
              <w:ind w:firstLine="0" w:firstLineChars="0"/>
              <w:jc w:val="center"/>
            </w:pPr>
            <w:r>
              <w:t>采光总面积（</w:t>
            </w:r>
            <w:r>
              <w:rPr>
                <w:rFonts w:hint="eastAsia"/>
              </w:rPr>
              <w:t>m</w:t>
            </w:r>
            <w:r>
              <w:rPr>
                <w:vertAlign w:val="superscript"/>
              </w:rPr>
              <w:t>2</w:t>
            </w:r>
            <w:r>
              <w:t>）</w:t>
            </w:r>
          </w:p>
        </w:tc>
        <w:tc>
          <w:tcPr>
            <w:tcW w:w="3392" w:type="dxa"/>
            <w:shd w:val="clear" w:color="auto" w:fill="E6E6E6"/>
            <w:vAlign w:val="center"/>
          </w:tcPr>
          <w:p>
            <w:pPr>
              <w:pStyle w:val="3"/>
              <w:ind w:firstLine="0" w:firstLineChars="0"/>
              <w:jc w:val="center"/>
            </w:pPr>
            <w:r>
              <w:t>达标面积（</w:t>
            </w:r>
            <w:r>
              <w:rPr>
                <w:rFonts w:hint="eastAsia"/>
              </w:rPr>
              <w:t>m</w:t>
            </w:r>
            <w:r>
              <w:rPr>
                <w:vertAlign w:val="superscript"/>
              </w:rPr>
              <w:t>2</w:t>
            </w:r>
            <w:r>
              <w:t>）</w:t>
            </w:r>
          </w:p>
        </w:tc>
        <w:tc>
          <w:tcPr>
            <w:tcW w:w="1966" w:type="dxa"/>
            <w:shd w:val="clear" w:color="auto" w:fill="E6E6E6"/>
            <w:vAlign w:val="center"/>
          </w:tcPr>
          <w:p>
            <w:pPr>
              <w:pStyle w:val="3"/>
              <w:ind w:firstLine="0" w:firstLineChars="0"/>
              <w:jc w:val="center"/>
            </w:pPr>
            <w:r>
              <w:t>面积比例R</w:t>
            </w:r>
            <w:r>
              <w:rPr>
                <w:vertAlign w:val="subscript"/>
              </w:rPr>
              <w:t>A</w:t>
            </w:r>
            <w:r>
              <w:t>（%）</w:t>
            </w:r>
          </w:p>
        </w:tc>
        <w:tc>
          <w:tcPr>
            <w:tcW w:w="1251" w:type="dxa"/>
            <w:shd w:val="clear" w:color="auto" w:fill="E6E6E6"/>
            <w:vAlign w:val="center"/>
          </w:tcPr>
          <w:p>
            <w:pPr>
              <w:pStyle w:val="3"/>
              <w:ind w:firstLine="0" w:firstLineChars="0"/>
              <w:jc w:val="center"/>
            </w:pPr>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23" w:type="dxa"/>
            <w:vAlign w:val="bottom"/>
          </w:tcPr>
          <w:p>
            <w:pPr>
              <w:pStyle w:val="3"/>
              <w:ind w:firstLine="0" w:firstLineChars="0"/>
              <w:jc w:val="center"/>
            </w:pPr>
            <w:bookmarkStart w:id="65" w:name="采光面积"/>
            <w:r>
              <w:rPr>
                <w:rFonts w:hint="eastAsia"/>
              </w:rPr>
              <w:t>2552.37</w:t>
            </w:r>
            <w:bookmarkEnd w:id="65"/>
          </w:p>
        </w:tc>
        <w:tc>
          <w:tcPr>
            <w:tcW w:w="3392" w:type="dxa"/>
            <w:vAlign w:val="bottom"/>
          </w:tcPr>
          <w:p>
            <w:pPr>
              <w:pStyle w:val="3"/>
              <w:ind w:firstLine="0" w:firstLineChars="0"/>
              <w:jc w:val="center"/>
            </w:pPr>
            <w:bookmarkStart w:id="66" w:name="达标面积"/>
            <w:r>
              <w:rPr>
                <w:rFonts w:hint="eastAsia"/>
              </w:rPr>
              <w:t>1798.33</w:t>
            </w:r>
            <w:bookmarkEnd w:id="66"/>
          </w:p>
        </w:tc>
        <w:tc>
          <w:tcPr>
            <w:tcW w:w="1966" w:type="dxa"/>
            <w:vAlign w:val="bottom"/>
          </w:tcPr>
          <w:p>
            <w:pPr>
              <w:pStyle w:val="3"/>
              <w:ind w:firstLine="0" w:firstLineChars="0"/>
              <w:jc w:val="center"/>
            </w:pPr>
            <w:bookmarkStart w:id="67" w:name="达标率"/>
            <w:r>
              <w:rPr>
                <w:rFonts w:hint="eastAsia"/>
              </w:rPr>
              <w:t>70</w:t>
            </w:r>
            <w:bookmarkEnd w:id="67"/>
          </w:p>
        </w:tc>
        <w:tc>
          <w:tcPr>
            <w:tcW w:w="1251" w:type="dxa"/>
            <w:vAlign w:val="bottom"/>
          </w:tcPr>
          <w:p>
            <w:pPr>
              <w:pStyle w:val="3"/>
              <w:ind w:firstLine="0" w:firstLineChars="0"/>
              <w:jc w:val="center"/>
            </w:pPr>
            <w:bookmarkStart w:id="68" w:name="达标率得分"/>
            <w:r>
              <w:rPr>
                <w:rFonts w:hint="eastAsia"/>
              </w:rPr>
              <w:t>6</w:t>
            </w:r>
            <w:bookmarkEnd w:id="68"/>
          </w:p>
        </w:tc>
      </w:tr>
    </w:tbl>
    <w:p>
      <w:pPr>
        <w:pStyle w:val="3"/>
        <w:ind w:firstLine="0" w:firstLineChars="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sz w:val="21"/>
        <w:szCs w:val="21"/>
      </w:rPr>
    </w:pPr>
    <w:r>
      <w:fldChar w:fldCharType="begin"/>
    </w:r>
    <w:r>
      <w:instrText xml:space="preserve"> HYPERLINK "http://www.gbsware.cn/" </w:instrText>
    </w:r>
    <w:r>
      <w:fldChar w:fldCharType="separate"/>
    </w:r>
    <w:r>
      <w:rPr>
        <w:rStyle w:val="27"/>
        <w:sz w:val="21"/>
        <w:szCs w:val="21"/>
        <w:u w:val="none"/>
      </w:rPr>
      <w:t>http://www.gbsware.cn/</w:t>
    </w:r>
    <w:r>
      <w:rPr>
        <w:rStyle w:val="27"/>
        <w:sz w:val="21"/>
        <w:szCs w:val="21"/>
        <w:u w:val="none"/>
      </w:rPr>
      <w:fldChar w:fldCharType="end"/>
    </w:r>
    <w:r>
      <w:rPr>
        <w:sz w:val="21"/>
        <w:szCs w:val="21"/>
      </w:rPr>
      <w:tab/>
    </w:r>
    <w:r>
      <w:rPr>
        <w:sz w:val="21"/>
        <w:szCs w:val="21"/>
      </w:rPr>
      <w:fldChar w:fldCharType="begin"/>
    </w:r>
    <w:r>
      <w:rPr>
        <w:sz w:val="21"/>
        <w:szCs w:val="21"/>
      </w:rPr>
      <w:instrText xml:space="preserve"> PAGE  \* Arabic  \* MERGEFORMAT </w:instrText>
    </w:r>
    <w:r>
      <w:rPr>
        <w:sz w:val="21"/>
        <w:szCs w:val="21"/>
      </w:rPr>
      <w:fldChar w:fldCharType="separate"/>
    </w:r>
    <w:r>
      <w:rPr>
        <w:sz w:val="21"/>
        <w:szCs w:val="21"/>
      </w:rPr>
      <w:t>7</w:t>
    </w:r>
    <w:r>
      <w:rPr>
        <w:sz w:val="21"/>
        <w:szCs w:val="21"/>
      </w:rPr>
      <w:fldChar w:fldCharType="end"/>
    </w:r>
    <w:r>
      <w:rPr>
        <w:b/>
        <w:sz w:val="21"/>
        <w:szCs w:val="21"/>
      </w:rPr>
      <w:t>/</w:t>
    </w:r>
    <w:r>
      <w:rPr>
        <w:sz w:val="21"/>
        <w:szCs w:val="21"/>
      </w:rPr>
      <w:fldChar w:fldCharType="begin"/>
    </w:r>
    <w:r>
      <w:rPr>
        <w:sz w:val="21"/>
        <w:szCs w:val="21"/>
      </w:rPr>
      <w:instrText xml:space="preserve"> NUMPAGES  \* Arabic  \* MERGEFORMAT </w:instrText>
    </w:r>
    <w:r>
      <w:rPr>
        <w:sz w:val="21"/>
        <w:szCs w:val="21"/>
      </w:rPr>
      <w:fldChar w:fldCharType="separate"/>
    </w:r>
    <w:r>
      <w:rPr>
        <w:sz w:val="21"/>
        <w:szCs w:val="21"/>
      </w:rPr>
      <w:t>7</w:t>
    </w:r>
    <w:r>
      <w:rPr>
        <w:sz w:val="21"/>
        <w:szCs w:val="21"/>
      </w:rPr>
      <w:fldChar w:fldCharType="end"/>
    </w:r>
    <w:r>
      <w:rPr>
        <w:sz w:val="21"/>
        <w:szCs w:val="21"/>
      </w:rPr>
      <w:tab/>
    </w:r>
    <w:r>
      <w:rPr>
        <w:sz w:val="21"/>
        <w:szCs w:val="21"/>
      </w:rPr>
      <w:t>Dali2020</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2"/>
      </w:pBdr>
      <w:jc w:val="left"/>
      <w:rPr>
        <w:sz w:val="21"/>
      </w:rP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公共建筑</w:t>
    </w:r>
    <w:r>
      <w:rPr>
        <w:sz w:val="21"/>
      </w:rPr>
      <w:t>采光</w:t>
    </w:r>
    <w:r>
      <w:rPr>
        <w:rFonts w:hint="eastAsia"/>
        <w:sz w:val="21"/>
      </w:rPr>
      <w:t>达标率计算书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17846469"/>
    <w:multiLevelType w:val="multilevel"/>
    <w:tmpl w:val="17846469"/>
    <w:lvl w:ilvl="0" w:tentative="0">
      <w:start w:val="1"/>
      <w:numFmt w:val="decimal"/>
      <w:lvlText w:val="%1."/>
      <w:lvlJc w:val="left"/>
      <w:pPr>
        <w:ind w:left="998" w:hanging="420"/>
      </w:pPr>
    </w:lvl>
    <w:lvl w:ilvl="1" w:tentative="0">
      <w:start w:val="1"/>
      <w:numFmt w:val="lowerLetter"/>
      <w:lvlText w:val="%2)"/>
      <w:lvlJc w:val="left"/>
      <w:pPr>
        <w:ind w:left="1418" w:hanging="420"/>
      </w:pPr>
    </w:lvl>
    <w:lvl w:ilvl="2" w:tentative="0">
      <w:start w:val="1"/>
      <w:numFmt w:val="lowerRoman"/>
      <w:lvlText w:val="%3."/>
      <w:lvlJc w:val="right"/>
      <w:pPr>
        <w:ind w:left="1838" w:hanging="420"/>
      </w:pPr>
    </w:lvl>
    <w:lvl w:ilvl="3" w:tentative="0">
      <w:start w:val="1"/>
      <w:numFmt w:val="decimal"/>
      <w:lvlText w:val="%4."/>
      <w:lvlJc w:val="left"/>
      <w:pPr>
        <w:ind w:left="2258" w:hanging="420"/>
      </w:pPr>
    </w:lvl>
    <w:lvl w:ilvl="4" w:tentative="0">
      <w:start w:val="1"/>
      <w:numFmt w:val="lowerLetter"/>
      <w:lvlText w:val="%5)"/>
      <w:lvlJc w:val="left"/>
      <w:pPr>
        <w:ind w:left="2678" w:hanging="420"/>
      </w:pPr>
    </w:lvl>
    <w:lvl w:ilvl="5" w:tentative="0">
      <w:start w:val="1"/>
      <w:numFmt w:val="lowerRoman"/>
      <w:lvlText w:val="%6."/>
      <w:lvlJc w:val="right"/>
      <w:pPr>
        <w:ind w:left="3098" w:hanging="420"/>
      </w:pPr>
    </w:lvl>
    <w:lvl w:ilvl="6" w:tentative="0">
      <w:start w:val="1"/>
      <w:numFmt w:val="decimal"/>
      <w:lvlText w:val="%7."/>
      <w:lvlJc w:val="left"/>
      <w:pPr>
        <w:ind w:left="3518" w:hanging="420"/>
      </w:pPr>
    </w:lvl>
    <w:lvl w:ilvl="7" w:tentative="0">
      <w:start w:val="1"/>
      <w:numFmt w:val="lowerLetter"/>
      <w:lvlText w:val="%8)"/>
      <w:lvlJc w:val="left"/>
      <w:pPr>
        <w:ind w:left="3938" w:hanging="420"/>
      </w:pPr>
    </w:lvl>
    <w:lvl w:ilvl="8" w:tentative="0">
      <w:start w:val="1"/>
      <w:numFmt w:val="lowerRoman"/>
      <w:lvlText w:val="%9."/>
      <w:lvlJc w:val="right"/>
      <w:pPr>
        <w:ind w:left="435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9B0AD9"/>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76A"/>
    <w:rsid w:val="00150077"/>
    <w:rsid w:val="001511F2"/>
    <w:rsid w:val="00152AD1"/>
    <w:rsid w:val="00153ECB"/>
    <w:rsid w:val="001549CD"/>
    <w:rsid w:val="00161975"/>
    <w:rsid w:val="00170E95"/>
    <w:rsid w:val="0017134B"/>
    <w:rsid w:val="00180509"/>
    <w:rsid w:val="00180537"/>
    <w:rsid w:val="001811B7"/>
    <w:rsid w:val="00191705"/>
    <w:rsid w:val="00195963"/>
    <w:rsid w:val="001A192D"/>
    <w:rsid w:val="001A213A"/>
    <w:rsid w:val="001A3588"/>
    <w:rsid w:val="001A3A15"/>
    <w:rsid w:val="001A4ACE"/>
    <w:rsid w:val="001B08FF"/>
    <w:rsid w:val="001B6E89"/>
    <w:rsid w:val="001C7D6A"/>
    <w:rsid w:val="001D7C6B"/>
    <w:rsid w:val="001E049F"/>
    <w:rsid w:val="001E157B"/>
    <w:rsid w:val="001E32B4"/>
    <w:rsid w:val="00201BD9"/>
    <w:rsid w:val="00202A21"/>
    <w:rsid w:val="002038AE"/>
    <w:rsid w:val="00203A7D"/>
    <w:rsid w:val="00204D80"/>
    <w:rsid w:val="00204DCA"/>
    <w:rsid w:val="002126D4"/>
    <w:rsid w:val="0021391C"/>
    <w:rsid w:val="0022062D"/>
    <w:rsid w:val="002229C1"/>
    <w:rsid w:val="002236B3"/>
    <w:rsid w:val="00224948"/>
    <w:rsid w:val="002273F3"/>
    <w:rsid w:val="002312B9"/>
    <w:rsid w:val="00232B5E"/>
    <w:rsid w:val="00241D4E"/>
    <w:rsid w:val="00244792"/>
    <w:rsid w:val="0025362B"/>
    <w:rsid w:val="00254812"/>
    <w:rsid w:val="002555B8"/>
    <w:rsid w:val="00266C91"/>
    <w:rsid w:val="0027073D"/>
    <w:rsid w:val="0027523A"/>
    <w:rsid w:val="00283BF0"/>
    <w:rsid w:val="002851FD"/>
    <w:rsid w:val="002933AC"/>
    <w:rsid w:val="00294F67"/>
    <w:rsid w:val="00294F7E"/>
    <w:rsid w:val="002A2F2E"/>
    <w:rsid w:val="002A7369"/>
    <w:rsid w:val="002A79FB"/>
    <w:rsid w:val="002B2590"/>
    <w:rsid w:val="002B7899"/>
    <w:rsid w:val="002C17A2"/>
    <w:rsid w:val="002C2F77"/>
    <w:rsid w:val="002C62E3"/>
    <w:rsid w:val="002D2BBC"/>
    <w:rsid w:val="002E5393"/>
    <w:rsid w:val="002E574B"/>
    <w:rsid w:val="002E5A01"/>
    <w:rsid w:val="002E7C19"/>
    <w:rsid w:val="002F2A1B"/>
    <w:rsid w:val="0030437C"/>
    <w:rsid w:val="003113F4"/>
    <w:rsid w:val="003121F7"/>
    <w:rsid w:val="003123FB"/>
    <w:rsid w:val="00312B73"/>
    <w:rsid w:val="00314D29"/>
    <w:rsid w:val="00317C52"/>
    <w:rsid w:val="0032366D"/>
    <w:rsid w:val="00326E0C"/>
    <w:rsid w:val="00327F14"/>
    <w:rsid w:val="00330BA7"/>
    <w:rsid w:val="0033176E"/>
    <w:rsid w:val="00332086"/>
    <w:rsid w:val="00340EEC"/>
    <w:rsid w:val="00350752"/>
    <w:rsid w:val="003537C0"/>
    <w:rsid w:val="0035421F"/>
    <w:rsid w:val="00355840"/>
    <w:rsid w:val="00356224"/>
    <w:rsid w:val="00356526"/>
    <w:rsid w:val="003569A9"/>
    <w:rsid w:val="003632E6"/>
    <w:rsid w:val="0036330B"/>
    <w:rsid w:val="003642AC"/>
    <w:rsid w:val="00370E69"/>
    <w:rsid w:val="00370EA4"/>
    <w:rsid w:val="00380AAF"/>
    <w:rsid w:val="00390296"/>
    <w:rsid w:val="00391613"/>
    <w:rsid w:val="00393106"/>
    <w:rsid w:val="003964EA"/>
    <w:rsid w:val="003A2B52"/>
    <w:rsid w:val="003A2CE1"/>
    <w:rsid w:val="003A3E76"/>
    <w:rsid w:val="003A5353"/>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55D17"/>
    <w:rsid w:val="004732C6"/>
    <w:rsid w:val="0047512A"/>
    <w:rsid w:val="00482861"/>
    <w:rsid w:val="004839C8"/>
    <w:rsid w:val="00486B69"/>
    <w:rsid w:val="00486F6E"/>
    <w:rsid w:val="004A008B"/>
    <w:rsid w:val="004A39D3"/>
    <w:rsid w:val="004A5301"/>
    <w:rsid w:val="004D230F"/>
    <w:rsid w:val="004D239D"/>
    <w:rsid w:val="004D449D"/>
    <w:rsid w:val="004D4831"/>
    <w:rsid w:val="004D7655"/>
    <w:rsid w:val="004E271C"/>
    <w:rsid w:val="004E5DEA"/>
    <w:rsid w:val="004F0B9C"/>
    <w:rsid w:val="004F181A"/>
    <w:rsid w:val="004F2B43"/>
    <w:rsid w:val="004F420C"/>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20DF"/>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5E53"/>
    <w:rsid w:val="005D14F5"/>
    <w:rsid w:val="005D6617"/>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30A97"/>
    <w:rsid w:val="00644B99"/>
    <w:rsid w:val="00652934"/>
    <w:rsid w:val="00653017"/>
    <w:rsid w:val="006544F4"/>
    <w:rsid w:val="00662B5E"/>
    <w:rsid w:val="006677F4"/>
    <w:rsid w:val="00670B60"/>
    <w:rsid w:val="00671FB4"/>
    <w:rsid w:val="00676BC4"/>
    <w:rsid w:val="00681C5E"/>
    <w:rsid w:val="0068497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4654"/>
    <w:rsid w:val="006F1E82"/>
    <w:rsid w:val="006F480A"/>
    <w:rsid w:val="006F6958"/>
    <w:rsid w:val="0070016E"/>
    <w:rsid w:val="00700961"/>
    <w:rsid w:val="00704059"/>
    <w:rsid w:val="00720044"/>
    <w:rsid w:val="00720CD9"/>
    <w:rsid w:val="00721E7A"/>
    <w:rsid w:val="00722CF6"/>
    <w:rsid w:val="007250A6"/>
    <w:rsid w:val="00731CB0"/>
    <w:rsid w:val="0074389B"/>
    <w:rsid w:val="0075470D"/>
    <w:rsid w:val="00760461"/>
    <w:rsid w:val="0076205C"/>
    <w:rsid w:val="0078389D"/>
    <w:rsid w:val="00784B44"/>
    <w:rsid w:val="007859D0"/>
    <w:rsid w:val="007A2481"/>
    <w:rsid w:val="007A2817"/>
    <w:rsid w:val="007A7DF0"/>
    <w:rsid w:val="007B7859"/>
    <w:rsid w:val="007C0D61"/>
    <w:rsid w:val="007C324F"/>
    <w:rsid w:val="007D0E14"/>
    <w:rsid w:val="007D2688"/>
    <w:rsid w:val="007D56DE"/>
    <w:rsid w:val="007E0DA0"/>
    <w:rsid w:val="007E39A8"/>
    <w:rsid w:val="007E3D1F"/>
    <w:rsid w:val="007F09EA"/>
    <w:rsid w:val="00800F96"/>
    <w:rsid w:val="00801632"/>
    <w:rsid w:val="008060C3"/>
    <w:rsid w:val="00806523"/>
    <w:rsid w:val="00810B33"/>
    <w:rsid w:val="00815480"/>
    <w:rsid w:val="00816221"/>
    <w:rsid w:val="0083639A"/>
    <w:rsid w:val="00837670"/>
    <w:rsid w:val="00840D90"/>
    <w:rsid w:val="008439F8"/>
    <w:rsid w:val="00850136"/>
    <w:rsid w:val="00860C70"/>
    <w:rsid w:val="008704AB"/>
    <w:rsid w:val="00871FC0"/>
    <w:rsid w:val="0087441B"/>
    <w:rsid w:val="00874A7B"/>
    <w:rsid w:val="00874E04"/>
    <w:rsid w:val="00883D6C"/>
    <w:rsid w:val="00886324"/>
    <w:rsid w:val="00892594"/>
    <w:rsid w:val="008A1241"/>
    <w:rsid w:val="008A54A0"/>
    <w:rsid w:val="008A6504"/>
    <w:rsid w:val="008B0CA0"/>
    <w:rsid w:val="008B15FA"/>
    <w:rsid w:val="008B7ADB"/>
    <w:rsid w:val="008C084F"/>
    <w:rsid w:val="008C1297"/>
    <w:rsid w:val="008C66D5"/>
    <w:rsid w:val="008D269A"/>
    <w:rsid w:val="008D31F9"/>
    <w:rsid w:val="008D35DA"/>
    <w:rsid w:val="008D4BEC"/>
    <w:rsid w:val="008D7168"/>
    <w:rsid w:val="008E2AB2"/>
    <w:rsid w:val="008F0010"/>
    <w:rsid w:val="008F5BF5"/>
    <w:rsid w:val="0090340B"/>
    <w:rsid w:val="00905F94"/>
    <w:rsid w:val="009168C0"/>
    <w:rsid w:val="00916F84"/>
    <w:rsid w:val="00925FCF"/>
    <w:rsid w:val="009363FF"/>
    <w:rsid w:val="00943074"/>
    <w:rsid w:val="0095123C"/>
    <w:rsid w:val="00952779"/>
    <w:rsid w:val="0095325A"/>
    <w:rsid w:val="0095484B"/>
    <w:rsid w:val="0096074B"/>
    <w:rsid w:val="00962F80"/>
    <w:rsid w:val="0096418B"/>
    <w:rsid w:val="00965A34"/>
    <w:rsid w:val="00973452"/>
    <w:rsid w:val="00975F79"/>
    <w:rsid w:val="0098285F"/>
    <w:rsid w:val="0098418E"/>
    <w:rsid w:val="00990F63"/>
    <w:rsid w:val="00991801"/>
    <w:rsid w:val="00993CF2"/>
    <w:rsid w:val="0099728A"/>
    <w:rsid w:val="009A15B5"/>
    <w:rsid w:val="009A6B0F"/>
    <w:rsid w:val="009B0122"/>
    <w:rsid w:val="009B0C40"/>
    <w:rsid w:val="009C13CC"/>
    <w:rsid w:val="009C36BC"/>
    <w:rsid w:val="009C4AE6"/>
    <w:rsid w:val="009D4733"/>
    <w:rsid w:val="009D5AAC"/>
    <w:rsid w:val="009E6B81"/>
    <w:rsid w:val="009F5016"/>
    <w:rsid w:val="009F5A35"/>
    <w:rsid w:val="009F5A95"/>
    <w:rsid w:val="009F7C95"/>
    <w:rsid w:val="00A0525F"/>
    <w:rsid w:val="00A12783"/>
    <w:rsid w:val="00A177A6"/>
    <w:rsid w:val="00A266E7"/>
    <w:rsid w:val="00A32590"/>
    <w:rsid w:val="00A355BD"/>
    <w:rsid w:val="00A357F7"/>
    <w:rsid w:val="00A47443"/>
    <w:rsid w:val="00A47585"/>
    <w:rsid w:val="00A57E38"/>
    <w:rsid w:val="00A60B63"/>
    <w:rsid w:val="00A650DD"/>
    <w:rsid w:val="00A73DF3"/>
    <w:rsid w:val="00A86476"/>
    <w:rsid w:val="00A90BB1"/>
    <w:rsid w:val="00A920E8"/>
    <w:rsid w:val="00A92636"/>
    <w:rsid w:val="00A95E06"/>
    <w:rsid w:val="00A972F1"/>
    <w:rsid w:val="00AA1B8A"/>
    <w:rsid w:val="00AA2741"/>
    <w:rsid w:val="00AA34A2"/>
    <w:rsid w:val="00AA47FE"/>
    <w:rsid w:val="00AA7D07"/>
    <w:rsid w:val="00AB1AE2"/>
    <w:rsid w:val="00AB5182"/>
    <w:rsid w:val="00AB5572"/>
    <w:rsid w:val="00AD0888"/>
    <w:rsid w:val="00AE206F"/>
    <w:rsid w:val="00AE6AF2"/>
    <w:rsid w:val="00AF050E"/>
    <w:rsid w:val="00AF0542"/>
    <w:rsid w:val="00AF06AD"/>
    <w:rsid w:val="00AF48DE"/>
    <w:rsid w:val="00B00FFB"/>
    <w:rsid w:val="00B102DE"/>
    <w:rsid w:val="00B11FD8"/>
    <w:rsid w:val="00B3131F"/>
    <w:rsid w:val="00B364B6"/>
    <w:rsid w:val="00B378CC"/>
    <w:rsid w:val="00B41640"/>
    <w:rsid w:val="00B45057"/>
    <w:rsid w:val="00B55B22"/>
    <w:rsid w:val="00B60841"/>
    <w:rsid w:val="00B61490"/>
    <w:rsid w:val="00B623AD"/>
    <w:rsid w:val="00B62EF2"/>
    <w:rsid w:val="00B70998"/>
    <w:rsid w:val="00B774E4"/>
    <w:rsid w:val="00B83F07"/>
    <w:rsid w:val="00B86B1C"/>
    <w:rsid w:val="00B950DF"/>
    <w:rsid w:val="00BA3782"/>
    <w:rsid w:val="00BA4C10"/>
    <w:rsid w:val="00BB3B23"/>
    <w:rsid w:val="00BB64F7"/>
    <w:rsid w:val="00BC27C9"/>
    <w:rsid w:val="00BD41E9"/>
    <w:rsid w:val="00BD47A9"/>
    <w:rsid w:val="00BD7DD2"/>
    <w:rsid w:val="00BE118E"/>
    <w:rsid w:val="00BE18AD"/>
    <w:rsid w:val="00BE4583"/>
    <w:rsid w:val="00BF5975"/>
    <w:rsid w:val="00C00B16"/>
    <w:rsid w:val="00C02ABE"/>
    <w:rsid w:val="00C04B11"/>
    <w:rsid w:val="00C127CA"/>
    <w:rsid w:val="00C12F41"/>
    <w:rsid w:val="00C14039"/>
    <w:rsid w:val="00C15244"/>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2CFF"/>
    <w:rsid w:val="00C8032E"/>
    <w:rsid w:val="00C832CC"/>
    <w:rsid w:val="00C851CF"/>
    <w:rsid w:val="00C85350"/>
    <w:rsid w:val="00C855E5"/>
    <w:rsid w:val="00C95C03"/>
    <w:rsid w:val="00C9765F"/>
    <w:rsid w:val="00C97E25"/>
    <w:rsid w:val="00CA48D1"/>
    <w:rsid w:val="00CA7AE3"/>
    <w:rsid w:val="00CB3702"/>
    <w:rsid w:val="00CB49CC"/>
    <w:rsid w:val="00CB6248"/>
    <w:rsid w:val="00CC0650"/>
    <w:rsid w:val="00CC1793"/>
    <w:rsid w:val="00CC196B"/>
    <w:rsid w:val="00CC6133"/>
    <w:rsid w:val="00CC74BC"/>
    <w:rsid w:val="00CD01C9"/>
    <w:rsid w:val="00CD4869"/>
    <w:rsid w:val="00CD5F63"/>
    <w:rsid w:val="00CD65EC"/>
    <w:rsid w:val="00CE28AA"/>
    <w:rsid w:val="00CE7112"/>
    <w:rsid w:val="00CF1874"/>
    <w:rsid w:val="00CF6917"/>
    <w:rsid w:val="00D02D59"/>
    <w:rsid w:val="00D02FD6"/>
    <w:rsid w:val="00D05B0B"/>
    <w:rsid w:val="00D062D7"/>
    <w:rsid w:val="00D06954"/>
    <w:rsid w:val="00D11DAD"/>
    <w:rsid w:val="00D264C0"/>
    <w:rsid w:val="00D30807"/>
    <w:rsid w:val="00D31E80"/>
    <w:rsid w:val="00D36619"/>
    <w:rsid w:val="00D40158"/>
    <w:rsid w:val="00D42291"/>
    <w:rsid w:val="00D43C46"/>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73AD"/>
    <w:rsid w:val="00DD017C"/>
    <w:rsid w:val="00DD33B1"/>
    <w:rsid w:val="00DD3C92"/>
    <w:rsid w:val="00DD56FC"/>
    <w:rsid w:val="00DE15EB"/>
    <w:rsid w:val="00DE39CD"/>
    <w:rsid w:val="00DE48D2"/>
    <w:rsid w:val="00DE7EA5"/>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2F91"/>
    <w:rsid w:val="00E341D6"/>
    <w:rsid w:val="00E34789"/>
    <w:rsid w:val="00E3796F"/>
    <w:rsid w:val="00E435A1"/>
    <w:rsid w:val="00E50FE4"/>
    <w:rsid w:val="00E55FF6"/>
    <w:rsid w:val="00E612BA"/>
    <w:rsid w:val="00E67432"/>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4F02"/>
    <w:rsid w:val="00F15E1F"/>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59AF"/>
    <w:rsid w:val="00F972A6"/>
    <w:rsid w:val="00FA0F8E"/>
    <w:rsid w:val="00FA4B87"/>
    <w:rsid w:val="00FB0817"/>
    <w:rsid w:val="00FB084F"/>
    <w:rsid w:val="00FB1375"/>
    <w:rsid w:val="00FB688E"/>
    <w:rsid w:val="00FC5270"/>
    <w:rsid w:val="00FC7BC5"/>
    <w:rsid w:val="00FD0B45"/>
    <w:rsid w:val="00FD0EF2"/>
    <w:rsid w:val="00FD1302"/>
    <w:rsid w:val="00FD19BB"/>
    <w:rsid w:val="00FD44EE"/>
    <w:rsid w:val="00FD6383"/>
    <w:rsid w:val="00FE749C"/>
    <w:rsid w:val="00FF14DB"/>
    <w:rsid w:val="00FF2243"/>
    <w:rsid w:val="6E9B0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40"/>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napToGrid w:val="0"/>
      <w:ind w:firstLine="200" w:firstLineChars="20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rPr>
      <w:szCs w:val="18"/>
    </w:rPr>
  </w:style>
  <w:style w:type="paragraph" w:styleId="17">
    <w:name w:val="footer"/>
    <w:basedOn w:val="1"/>
    <w:link w:val="33"/>
    <w:qFormat/>
    <w:uiPriority w:val="0"/>
    <w:pPr>
      <w:tabs>
        <w:tab w:val="center" w:pos="4153"/>
        <w:tab w:val="right" w:pos="8306"/>
      </w:tabs>
    </w:pPr>
    <w:rPr>
      <w:szCs w:val="18"/>
    </w:rPr>
  </w:style>
  <w:style w:type="paragraph" w:styleId="18">
    <w:name w:val="header"/>
    <w:basedOn w:val="1"/>
    <w:uiPriority w:val="0"/>
    <w:pPr>
      <w:pBdr>
        <w:bottom w:val="single" w:color="auto" w:sz="6" w:space="1"/>
      </w:pBdr>
      <w:tabs>
        <w:tab w:val="center" w:pos="4153"/>
        <w:tab w:val="right" w:pos="8306"/>
      </w:tabs>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Char"/>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Char"/>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Char"/>
    <w:link w:val="13"/>
    <w:uiPriority w:val="0"/>
    <w:rPr>
      <w:sz w:val="18"/>
      <w:lang w:val="en-GB"/>
    </w:rPr>
  </w:style>
  <w:style w:type="character" w:customStyle="1" w:styleId="37">
    <w:name w:val="批注主题 Char"/>
    <w:link w:val="21"/>
    <w:uiPriority w:val="0"/>
    <w:rPr>
      <w:b/>
      <w:bCs/>
      <w:sz w:val="18"/>
      <w:lang w:val="en-GB"/>
    </w:rPr>
  </w:style>
  <w:style w:type="character" w:customStyle="1" w:styleId="38">
    <w:name w:val="批注框文本 Char"/>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Char"/>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3.bmp"/><Relationship Id="rId16" Type="http://schemas.openxmlformats.org/officeDocument/2006/relationships/image" Target="media/image12.bmp"/><Relationship Id="rId15" Type="http://schemas.openxmlformats.org/officeDocument/2006/relationships/image" Target="media/image11.bmp"/><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575;&#26093;&#26312;\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Pages>16</Pages>
  <Words>3013</Words>
  <Characters>4173</Characters>
  <Lines>31</Lines>
  <Paragraphs>8</Paragraphs>
  <TotalTime>0</TotalTime>
  <ScaleCrop>false</ScaleCrop>
  <LinksUpToDate>false</LinksUpToDate>
  <CharactersWithSpaces>4279</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2022-01-04T13:14:00Z</dcterms:created>
  <dc:creator>Mrsk</dc:creator>
  <cp:lastModifiedBy>Mrsk</cp:lastModifiedBy>
  <dcterms:modified xsi:type="dcterms:W3CDTF">2022-01-04T13:15:39Z</dcterms:modified>
  <dc:title>公共建筑采光达标率计算书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