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综合能耗节能率计算书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1" w:name="项目名称"/>
            <w:r>
              <w:rPr>
                <w:rFonts w:hint="eastAsia" w:ascii="宋体" w:hAnsi="宋体"/>
                <w:szCs w:val="21"/>
              </w:rPr>
              <w:t>麓湖绿色住区设计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四川-成都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2022年1月6日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T13039074117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7"/>
        <w:rPr>
          <w:b w:val="0"/>
          <w:bCs w:val="0"/>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Style w:val="23"/>
        </w:rPr>
        <w:fldChar w:fldCharType="begin"/>
      </w:r>
      <w:r>
        <w:rPr>
          <w:rStyle w:val="23"/>
        </w:rPr>
        <w:instrText xml:space="preserve"> </w:instrText>
      </w:r>
      <w:r>
        <w:instrText xml:space="preserve">HYPERLINK \l "_Toc316568035"</w:instrText>
      </w:r>
      <w:r>
        <w:rPr>
          <w:rStyle w:val="23"/>
        </w:rPr>
        <w:instrText xml:space="preserve"> </w:instrText>
      </w:r>
      <w:r>
        <w:rPr>
          <w:rStyle w:val="23"/>
        </w:rPr>
        <w:fldChar w:fldCharType="separate"/>
      </w:r>
      <w:r>
        <w:rPr>
          <w:rStyle w:val="23"/>
          <w:rFonts w:ascii="宋体" w:hAnsi="宋体"/>
        </w:rPr>
        <w:t>1</w:t>
      </w:r>
      <w:r>
        <w:rPr>
          <w:b w:val="0"/>
          <w:bCs w:val="0"/>
        </w:rPr>
        <w:tab/>
      </w:r>
      <w:r>
        <w:rPr>
          <w:rStyle w:val="23"/>
          <w:rFonts w:hint="eastAsia" w:ascii="宋体" w:hAnsi="宋体"/>
        </w:rPr>
        <w:t>建筑概况</w:t>
      </w:r>
      <w:r>
        <w:tab/>
      </w:r>
      <w:r>
        <w:fldChar w:fldCharType="begin"/>
      </w:r>
      <w:r>
        <w:instrText xml:space="preserve"> PAGEREF _Toc316568035 \h </w:instrText>
      </w:r>
      <w:r>
        <w:fldChar w:fldCharType="separate"/>
      </w:r>
      <w:r>
        <w:t>3</w:t>
      </w:r>
      <w:r>
        <w:fldChar w:fldCharType="end"/>
      </w:r>
      <w:r>
        <w:rPr>
          <w:rStyle w:val="23"/>
        </w:rPr>
        <w:fldChar w:fldCharType="end"/>
      </w:r>
    </w:p>
    <w:p>
      <w:pPr>
        <w:pStyle w:val="17"/>
        <w:rPr>
          <w:b w:val="0"/>
          <w:bCs w:val="0"/>
        </w:rPr>
      </w:pPr>
      <w:r>
        <w:fldChar w:fldCharType="begin"/>
      </w:r>
      <w:r>
        <w:instrText xml:space="preserve"> HYPERLINK \l "_Toc316568036" </w:instrText>
      </w:r>
      <w:r>
        <w:fldChar w:fldCharType="separate"/>
      </w:r>
      <w:r>
        <w:rPr>
          <w:rStyle w:val="23"/>
        </w:rPr>
        <w:t>2</w:t>
      </w:r>
      <w:r>
        <w:rPr>
          <w:b w:val="0"/>
          <w:bCs w:val="0"/>
        </w:rPr>
        <w:tab/>
      </w:r>
      <w:r>
        <w:rPr>
          <w:rStyle w:val="23"/>
          <w:rFonts w:hint="eastAsia"/>
        </w:rPr>
        <w:t>设计依据</w:t>
      </w:r>
      <w:r>
        <w:tab/>
      </w:r>
      <w:r>
        <w:fldChar w:fldCharType="begin"/>
      </w:r>
      <w:r>
        <w:instrText xml:space="preserve"> PAGEREF _Toc316568036 \h </w:instrText>
      </w:r>
      <w:r>
        <w:fldChar w:fldCharType="separate"/>
      </w:r>
      <w:r>
        <w:t>3</w:t>
      </w:r>
      <w:r>
        <w:fldChar w:fldCharType="end"/>
      </w:r>
      <w:r>
        <w:fldChar w:fldCharType="end"/>
      </w:r>
    </w:p>
    <w:p>
      <w:pPr>
        <w:pStyle w:val="17"/>
        <w:rPr>
          <w:b w:val="0"/>
          <w:bCs w:val="0"/>
        </w:rPr>
      </w:pPr>
      <w:r>
        <w:fldChar w:fldCharType="begin"/>
      </w:r>
      <w:r>
        <w:instrText xml:space="preserve"> HYPERLINK \l "_Toc316568037" </w:instrText>
      </w:r>
      <w:r>
        <w:fldChar w:fldCharType="separate"/>
      </w:r>
      <w:r>
        <w:rPr>
          <w:rStyle w:val="23"/>
        </w:rPr>
        <w:t>3</w:t>
      </w:r>
      <w:r>
        <w:rPr>
          <w:b w:val="0"/>
          <w:bCs w:val="0"/>
        </w:rPr>
        <w:tab/>
      </w:r>
      <w:r>
        <w:rPr>
          <w:rStyle w:val="23"/>
          <w:rFonts w:hint="eastAsia"/>
        </w:rPr>
        <w:t>规定性指标检查</w:t>
      </w:r>
      <w:r>
        <w:tab/>
      </w:r>
      <w:r>
        <w:fldChar w:fldCharType="begin"/>
      </w:r>
      <w:r>
        <w:instrText xml:space="preserve"> PAGEREF _Toc316568037 \h </w:instrText>
      </w:r>
      <w:r>
        <w:fldChar w:fldCharType="separate"/>
      </w:r>
      <w:r>
        <w:rPr>
          <w:rFonts w:hint="eastAsia"/>
          <w:b w:val="0"/>
          <w:bCs w:val="0"/>
        </w:rPr>
        <w:t>错误!未定义书签。</w:t>
      </w:r>
      <w:r>
        <w:fldChar w:fldCharType="end"/>
      </w:r>
      <w:r>
        <w:fldChar w:fldCharType="end"/>
      </w:r>
    </w:p>
    <w:p>
      <w:pPr>
        <w:pStyle w:val="18"/>
      </w:pPr>
      <w:r>
        <w:fldChar w:fldCharType="begin"/>
      </w:r>
      <w:r>
        <w:instrText xml:space="preserve"> HYPERLINK \l "_Toc316568038" </w:instrText>
      </w:r>
      <w:r>
        <w:fldChar w:fldCharType="separate"/>
      </w:r>
      <w:r>
        <w:rPr>
          <w:rStyle w:val="23"/>
          <w:lang w:val="en-GB"/>
        </w:rPr>
        <w:t>3.1</w:t>
      </w:r>
      <w:r>
        <w:tab/>
      </w:r>
      <w:r>
        <w:rPr>
          <w:rStyle w:val="23"/>
          <w:rFonts w:hint="eastAsia"/>
        </w:rPr>
        <w:t>体形系数</w:t>
      </w:r>
      <w:r>
        <w:tab/>
      </w:r>
      <w:r>
        <w:fldChar w:fldCharType="begin"/>
      </w:r>
      <w:r>
        <w:instrText xml:space="preserve"> PAGEREF _Toc316568038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"_Toc316568039" </w:instrText>
      </w:r>
      <w:r>
        <w:fldChar w:fldCharType="separate"/>
      </w:r>
      <w:r>
        <w:rPr>
          <w:rStyle w:val="23"/>
          <w:lang w:val="en-GB"/>
        </w:rPr>
        <w:t>3.2</w:t>
      </w:r>
      <w:r>
        <w:tab/>
      </w:r>
      <w:r>
        <w:rPr>
          <w:rStyle w:val="23"/>
          <w:rFonts w:hint="eastAsia"/>
        </w:rPr>
        <w:t>开间窗墙面积比</w:t>
      </w:r>
      <w:r>
        <w:tab/>
      </w:r>
      <w:r>
        <w:fldChar w:fldCharType="begin"/>
      </w:r>
      <w:r>
        <w:instrText xml:space="preserve"> PAGEREF _Toc316568039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"_Toc316568040" </w:instrText>
      </w:r>
      <w:r>
        <w:fldChar w:fldCharType="separate"/>
      </w:r>
      <w:r>
        <w:rPr>
          <w:rStyle w:val="23"/>
          <w:lang w:val="en-GB"/>
        </w:rPr>
        <w:t>3.3</w:t>
      </w:r>
      <w:r>
        <w:tab/>
      </w:r>
      <w:r>
        <w:rPr>
          <w:rStyle w:val="23"/>
          <w:rFonts w:hint="eastAsia"/>
        </w:rPr>
        <w:t>屋顶构造</w:t>
      </w:r>
      <w:r>
        <w:tab/>
      </w:r>
      <w:r>
        <w:fldChar w:fldCharType="begin"/>
      </w:r>
      <w:r>
        <w:instrText xml:space="preserve"> PAGEREF _Toc316568040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"_Toc316568041" </w:instrText>
      </w:r>
      <w:r>
        <w:fldChar w:fldCharType="separate"/>
      </w:r>
      <w:r>
        <w:rPr>
          <w:rStyle w:val="23"/>
          <w:lang w:val="en-GB"/>
        </w:rPr>
        <w:t>3.3.1</w:t>
      </w:r>
      <w:r>
        <w:tab/>
      </w:r>
      <w:r>
        <w:rPr>
          <w:rStyle w:val="23"/>
          <w:rFonts w:hint="eastAsia"/>
        </w:rPr>
        <w:t>屋顶构造一</w:t>
      </w:r>
      <w:r>
        <w:tab/>
      </w:r>
      <w:r>
        <w:fldChar w:fldCharType="begin"/>
      </w:r>
      <w:r>
        <w:instrText xml:space="preserve"> PAGEREF _Toc316568041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"_Toc316568042" </w:instrText>
      </w:r>
      <w:r>
        <w:fldChar w:fldCharType="separate"/>
      </w:r>
      <w:r>
        <w:rPr>
          <w:rStyle w:val="23"/>
          <w:lang w:val="en-GB"/>
        </w:rPr>
        <w:t>3.3.2</w:t>
      </w:r>
      <w:r>
        <w:tab/>
      </w:r>
      <w:r>
        <w:rPr>
          <w:rStyle w:val="23"/>
          <w:rFonts w:hint="eastAsia"/>
        </w:rPr>
        <w:t>屋顶构造二</w:t>
      </w:r>
      <w:r>
        <w:tab/>
      </w:r>
      <w:r>
        <w:fldChar w:fldCharType="begin"/>
      </w:r>
      <w:r>
        <w:instrText xml:space="preserve"> PAGEREF _Toc316568042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"_Toc316568043" </w:instrText>
      </w:r>
      <w:r>
        <w:fldChar w:fldCharType="separate"/>
      </w:r>
      <w:r>
        <w:rPr>
          <w:rStyle w:val="23"/>
          <w:lang w:val="en-GB"/>
        </w:rPr>
        <w:t>3.3.3</w:t>
      </w:r>
      <w:r>
        <w:tab/>
      </w:r>
      <w:r>
        <w:rPr>
          <w:rStyle w:val="23"/>
          <w:rFonts w:hint="eastAsia"/>
        </w:rPr>
        <w:t>屋顶构造</w:t>
      </w:r>
      <w:r>
        <w:rPr>
          <w:rStyle w:val="23"/>
        </w:rPr>
        <w:t>N</w:t>
      </w:r>
      <w:r>
        <w:tab/>
      </w:r>
      <w:r>
        <w:fldChar w:fldCharType="begin"/>
      </w:r>
      <w:r>
        <w:instrText xml:space="preserve"> PAGEREF _Toc316568043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"_Toc316568044" </w:instrText>
      </w:r>
      <w:r>
        <w:fldChar w:fldCharType="separate"/>
      </w:r>
      <w:r>
        <w:rPr>
          <w:rStyle w:val="23"/>
          <w:lang w:val="en-GB"/>
        </w:rPr>
        <w:t>3.3.4</w:t>
      </w:r>
      <w:r>
        <w:tab/>
      </w:r>
      <w:r>
        <w:rPr>
          <w:rStyle w:val="23"/>
          <w:rFonts w:hint="eastAsia"/>
        </w:rPr>
        <w:t>屋顶平均热工性能</w:t>
      </w:r>
      <w:r>
        <w:tab/>
      </w:r>
      <w:r>
        <w:fldChar w:fldCharType="begin"/>
      </w:r>
      <w:r>
        <w:instrText xml:space="preserve"> PAGEREF _Toc316568044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"_Toc316568045" </w:instrText>
      </w:r>
      <w:r>
        <w:fldChar w:fldCharType="separate"/>
      </w:r>
      <w:r>
        <w:rPr>
          <w:rStyle w:val="23"/>
          <w:lang w:val="en-GB"/>
        </w:rPr>
        <w:t>3.4</w:t>
      </w:r>
      <w:r>
        <w:tab/>
      </w:r>
      <w:r>
        <w:rPr>
          <w:rStyle w:val="23"/>
          <w:rFonts w:hint="eastAsia"/>
        </w:rPr>
        <w:t>外墙构造</w:t>
      </w:r>
      <w:r>
        <w:tab/>
      </w:r>
      <w:r>
        <w:fldChar w:fldCharType="begin"/>
      </w:r>
      <w:r>
        <w:instrText xml:space="preserve"> PAGEREF _Toc316568045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"_Toc316568046" </w:instrText>
      </w:r>
      <w:r>
        <w:fldChar w:fldCharType="separate"/>
      </w:r>
      <w:r>
        <w:rPr>
          <w:rStyle w:val="23"/>
          <w:lang w:val="en-GB"/>
        </w:rPr>
        <w:t>3.4.1</w:t>
      </w:r>
      <w:r>
        <w:tab/>
      </w:r>
      <w:r>
        <w:rPr>
          <w:rStyle w:val="23"/>
          <w:rFonts w:hint="eastAsia"/>
        </w:rPr>
        <w:t>外墙相关构造</w:t>
      </w:r>
      <w:r>
        <w:tab/>
      </w:r>
      <w:r>
        <w:fldChar w:fldCharType="begin"/>
      </w:r>
      <w:r>
        <w:instrText xml:space="preserve"> PAGEREF _Toc316568046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"_Toc316568047" </w:instrText>
      </w:r>
      <w:r>
        <w:fldChar w:fldCharType="separate"/>
      </w:r>
      <w:r>
        <w:rPr>
          <w:rStyle w:val="23"/>
          <w:lang w:val="en-GB"/>
        </w:rPr>
        <w:t>3.4.2</w:t>
      </w:r>
      <w:r>
        <w:tab/>
      </w:r>
      <w:r>
        <w:rPr>
          <w:rStyle w:val="23"/>
          <w:rFonts w:hint="eastAsia"/>
        </w:rPr>
        <w:t>外墙平均传热系数</w:t>
      </w:r>
      <w:r>
        <w:tab/>
      </w:r>
      <w:r>
        <w:fldChar w:fldCharType="begin"/>
      </w:r>
      <w:r>
        <w:instrText xml:space="preserve"> PAGEREF _Toc316568047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"_Toc316568048" </w:instrText>
      </w:r>
      <w:r>
        <w:fldChar w:fldCharType="separate"/>
      </w:r>
      <w:r>
        <w:rPr>
          <w:rStyle w:val="23"/>
          <w:lang w:val="en-GB"/>
        </w:rPr>
        <w:t>3.5</w:t>
      </w:r>
      <w:r>
        <w:tab/>
      </w:r>
      <w:r>
        <w:rPr>
          <w:rStyle w:val="23"/>
          <w:rFonts w:hint="eastAsia"/>
        </w:rPr>
        <w:t>挑空楼板构造</w:t>
      </w:r>
      <w:r>
        <w:tab/>
      </w:r>
      <w:r>
        <w:fldChar w:fldCharType="begin"/>
      </w:r>
      <w:r>
        <w:instrText xml:space="preserve"> PAGEREF _Toc316568048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"_Toc316568049" </w:instrText>
      </w:r>
      <w:r>
        <w:fldChar w:fldCharType="separate"/>
      </w:r>
      <w:r>
        <w:rPr>
          <w:rStyle w:val="23"/>
          <w:lang w:val="en-GB"/>
        </w:rPr>
        <w:t>3.5.1</w:t>
      </w:r>
      <w:r>
        <w:tab/>
      </w:r>
      <w:r>
        <w:rPr>
          <w:rStyle w:val="23"/>
          <w:rFonts w:hint="eastAsia"/>
        </w:rPr>
        <w:t>挑空楼板构造一</w:t>
      </w:r>
      <w:r>
        <w:tab/>
      </w:r>
      <w:r>
        <w:fldChar w:fldCharType="begin"/>
      </w:r>
      <w:r>
        <w:instrText xml:space="preserve"> PAGEREF _Toc316568049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"_Toc316568050" </w:instrText>
      </w:r>
      <w:r>
        <w:fldChar w:fldCharType="separate"/>
      </w:r>
      <w:r>
        <w:rPr>
          <w:rStyle w:val="23"/>
          <w:lang w:val="en-GB"/>
        </w:rPr>
        <w:t>3.5.2</w:t>
      </w:r>
      <w:r>
        <w:tab/>
      </w:r>
      <w:r>
        <w:rPr>
          <w:rStyle w:val="23"/>
          <w:rFonts w:hint="eastAsia"/>
        </w:rPr>
        <w:t>挑空楼板构造</w:t>
      </w:r>
      <w:r>
        <w:rPr>
          <w:rStyle w:val="23"/>
        </w:rPr>
        <w:t>N</w:t>
      </w:r>
      <w:r>
        <w:tab/>
      </w:r>
      <w:r>
        <w:fldChar w:fldCharType="begin"/>
      </w:r>
      <w:r>
        <w:instrText xml:space="preserve"> PAGEREF _Toc316568050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"_Toc316568051" </w:instrText>
      </w:r>
      <w:r>
        <w:fldChar w:fldCharType="separate"/>
      </w:r>
      <w:r>
        <w:rPr>
          <w:rStyle w:val="23"/>
          <w:lang w:val="en-GB"/>
        </w:rPr>
        <w:t>3.5.3</w:t>
      </w:r>
      <w:r>
        <w:tab/>
      </w:r>
      <w:r>
        <w:rPr>
          <w:rStyle w:val="23"/>
          <w:rFonts w:hint="eastAsia"/>
        </w:rPr>
        <w:t>挑空楼板平均热工性能</w:t>
      </w:r>
      <w:r>
        <w:tab/>
      </w:r>
      <w:r>
        <w:fldChar w:fldCharType="begin"/>
      </w:r>
      <w:r>
        <w:instrText xml:space="preserve"> PAGEREF _Toc316568051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"_Toc316568052" </w:instrText>
      </w:r>
      <w:r>
        <w:fldChar w:fldCharType="separate"/>
      </w:r>
      <w:r>
        <w:rPr>
          <w:rStyle w:val="23"/>
          <w:lang w:val="en-GB"/>
        </w:rPr>
        <w:t>3.6</w:t>
      </w:r>
      <w:r>
        <w:tab/>
      </w:r>
      <w:r>
        <w:rPr>
          <w:rStyle w:val="23"/>
          <w:rFonts w:hint="eastAsia"/>
        </w:rPr>
        <w:t>非采暖地下室顶板构造</w:t>
      </w:r>
      <w:r>
        <w:tab/>
      </w:r>
      <w:r>
        <w:fldChar w:fldCharType="begin"/>
      </w:r>
      <w:r>
        <w:instrText xml:space="preserve"> PAGEREF _Toc316568052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"_Toc316568053" </w:instrText>
      </w:r>
      <w:r>
        <w:fldChar w:fldCharType="separate"/>
      </w:r>
      <w:r>
        <w:rPr>
          <w:rStyle w:val="23"/>
          <w:lang w:val="en-GB"/>
        </w:rPr>
        <w:t>3.6.1</w:t>
      </w:r>
      <w:r>
        <w:tab/>
      </w:r>
      <w:r>
        <w:rPr>
          <w:rStyle w:val="23"/>
          <w:rFonts w:hint="eastAsia"/>
        </w:rPr>
        <w:t>顶板构造一</w:t>
      </w:r>
      <w:r>
        <w:tab/>
      </w:r>
      <w:r>
        <w:fldChar w:fldCharType="begin"/>
      </w:r>
      <w:r>
        <w:instrText xml:space="preserve"> PAGEREF _Toc316568053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"_Toc316568054" </w:instrText>
      </w:r>
      <w:r>
        <w:fldChar w:fldCharType="separate"/>
      </w:r>
      <w:r>
        <w:rPr>
          <w:rStyle w:val="23"/>
          <w:lang w:val="en-GB"/>
        </w:rPr>
        <w:t>3.6.2</w:t>
      </w:r>
      <w:r>
        <w:tab/>
      </w:r>
      <w:r>
        <w:rPr>
          <w:rStyle w:val="23"/>
          <w:rFonts w:hint="eastAsia"/>
        </w:rPr>
        <w:t>顶板构造</w:t>
      </w:r>
      <w:r>
        <w:rPr>
          <w:rStyle w:val="23"/>
        </w:rPr>
        <w:t>N</w:t>
      </w:r>
      <w:r>
        <w:tab/>
      </w:r>
      <w:r>
        <w:fldChar w:fldCharType="begin"/>
      </w:r>
      <w:r>
        <w:instrText xml:space="preserve"> PAGEREF _Toc316568054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"_Toc316568055" </w:instrText>
      </w:r>
      <w:r>
        <w:fldChar w:fldCharType="separate"/>
      </w:r>
      <w:r>
        <w:rPr>
          <w:rStyle w:val="23"/>
          <w:lang w:val="en-GB"/>
        </w:rPr>
        <w:t>3.6.3</w:t>
      </w:r>
      <w:r>
        <w:tab/>
      </w:r>
      <w:r>
        <w:rPr>
          <w:rStyle w:val="23"/>
          <w:rFonts w:hint="eastAsia"/>
        </w:rPr>
        <w:t>非采暖地下室顶板平均热工性能</w:t>
      </w:r>
      <w:r>
        <w:tab/>
      </w:r>
      <w:r>
        <w:fldChar w:fldCharType="begin"/>
      </w:r>
      <w:r>
        <w:instrText xml:space="preserve"> PAGEREF _Toc316568055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"_Toc316568056" </w:instrText>
      </w:r>
      <w:r>
        <w:fldChar w:fldCharType="separate"/>
      </w:r>
      <w:r>
        <w:rPr>
          <w:rStyle w:val="23"/>
          <w:lang w:val="en-GB"/>
        </w:rPr>
        <w:t>3.7</w:t>
      </w:r>
      <w:r>
        <w:tab/>
      </w:r>
      <w:r>
        <w:rPr>
          <w:rStyle w:val="23"/>
          <w:rFonts w:hint="eastAsia"/>
        </w:rPr>
        <w:t>分隔采暖与非采暖空间的隔墙构造</w:t>
      </w:r>
      <w:r>
        <w:tab/>
      </w:r>
      <w:r>
        <w:fldChar w:fldCharType="begin"/>
      </w:r>
      <w:r>
        <w:instrText xml:space="preserve"> PAGEREF _Toc316568056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"_Toc316568057" </w:instrText>
      </w:r>
      <w:r>
        <w:fldChar w:fldCharType="separate"/>
      </w:r>
      <w:r>
        <w:rPr>
          <w:rStyle w:val="23"/>
          <w:lang w:val="en-GB"/>
        </w:rPr>
        <w:t>3.7.1</w:t>
      </w:r>
      <w:r>
        <w:tab/>
      </w:r>
      <w:r>
        <w:rPr>
          <w:rStyle w:val="23"/>
          <w:rFonts w:hint="eastAsia"/>
        </w:rPr>
        <w:t>隔墙构造一</w:t>
      </w:r>
      <w:r>
        <w:tab/>
      </w:r>
      <w:r>
        <w:fldChar w:fldCharType="begin"/>
      </w:r>
      <w:r>
        <w:instrText xml:space="preserve"> PAGEREF _Toc316568057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"_Toc316568058" </w:instrText>
      </w:r>
      <w:r>
        <w:fldChar w:fldCharType="separate"/>
      </w:r>
      <w:r>
        <w:rPr>
          <w:rStyle w:val="23"/>
          <w:lang w:val="en-GB"/>
        </w:rPr>
        <w:t>3.7.2</w:t>
      </w:r>
      <w:r>
        <w:tab/>
      </w:r>
      <w:r>
        <w:rPr>
          <w:rStyle w:val="23"/>
          <w:rFonts w:hint="eastAsia"/>
        </w:rPr>
        <w:t>隔墙构造</w:t>
      </w:r>
      <w:r>
        <w:rPr>
          <w:rStyle w:val="23"/>
        </w:rPr>
        <w:t>N</w:t>
      </w:r>
      <w:r>
        <w:tab/>
      </w:r>
      <w:r>
        <w:fldChar w:fldCharType="begin"/>
      </w:r>
      <w:r>
        <w:instrText xml:space="preserve"> PAGEREF _Toc316568058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"_Toc316568059" </w:instrText>
      </w:r>
      <w:r>
        <w:fldChar w:fldCharType="separate"/>
      </w:r>
      <w:r>
        <w:rPr>
          <w:rStyle w:val="23"/>
          <w:lang w:val="en-GB"/>
        </w:rPr>
        <w:t>3.7.3</w:t>
      </w:r>
      <w:r>
        <w:tab/>
      </w:r>
      <w:r>
        <w:rPr>
          <w:rStyle w:val="23"/>
          <w:rFonts w:hint="eastAsia"/>
        </w:rPr>
        <w:t>分隔采暖与非采暖空间的隔墙平均热工性能</w:t>
      </w:r>
      <w:r>
        <w:tab/>
      </w:r>
      <w:r>
        <w:fldChar w:fldCharType="begin"/>
      </w:r>
      <w:r>
        <w:instrText xml:space="preserve"> PAGEREF _Toc316568059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"_Toc316568060" </w:instrText>
      </w:r>
      <w:r>
        <w:fldChar w:fldCharType="separate"/>
      </w:r>
      <w:r>
        <w:rPr>
          <w:rStyle w:val="23"/>
          <w:lang w:val="en-GB"/>
        </w:rPr>
        <w:t>3.8</w:t>
      </w:r>
      <w:r>
        <w:tab/>
      </w:r>
      <w:r>
        <w:rPr>
          <w:rStyle w:val="23"/>
          <w:rFonts w:hint="eastAsia"/>
        </w:rPr>
        <w:t>分隔采暖与非采暖空间的户门构造</w:t>
      </w:r>
      <w:r>
        <w:tab/>
      </w:r>
      <w:r>
        <w:fldChar w:fldCharType="begin"/>
      </w:r>
      <w:r>
        <w:instrText xml:space="preserve"> PAGEREF _Toc316568060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"_Toc316568061" </w:instrText>
      </w:r>
      <w:r>
        <w:fldChar w:fldCharType="separate"/>
      </w:r>
      <w:r>
        <w:rPr>
          <w:rStyle w:val="23"/>
          <w:lang w:val="en-GB"/>
        </w:rPr>
        <w:t>3.9</w:t>
      </w:r>
      <w:r>
        <w:tab/>
      </w:r>
      <w:r>
        <w:rPr>
          <w:rStyle w:val="23"/>
          <w:rFonts w:hint="eastAsia"/>
        </w:rPr>
        <w:t>阳台门下部芯板构造</w:t>
      </w:r>
      <w:r>
        <w:tab/>
      </w:r>
      <w:r>
        <w:fldChar w:fldCharType="begin"/>
      </w:r>
      <w:r>
        <w:instrText xml:space="preserve"> PAGEREF _Toc316568061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"_Toc316568062" </w:instrText>
      </w:r>
      <w:r>
        <w:fldChar w:fldCharType="separate"/>
      </w:r>
      <w:r>
        <w:rPr>
          <w:rStyle w:val="23"/>
          <w:lang w:val="en-GB"/>
        </w:rPr>
        <w:t>3.10</w:t>
      </w:r>
      <w:r>
        <w:tab/>
      </w:r>
      <w:r>
        <w:rPr>
          <w:rStyle w:val="23"/>
          <w:rFonts w:hint="eastAsia"/>
        </w:rPr>
        <w:t>外窗</w:t>
      </w:r>
      <w:r>
        <w:tab/>
      </w:r>
      <w:r>
        <w:fldChar w:fldCharType="begin"/>
      </w:r>
      <w:r>
        <w:instrText xml:space="preserve"> PAGEREF _Toc316568062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"_Toc316568063" </w:instrText>
      </w:r>
      <w:r>
        <w:fldChar w:fldCharType="separate"/>
      </w:r>
      <w:r>
        <w:rPr>
          <w:rStyle w:val="23"/>
          <w:lang w:val="en-GB"/>
        </w:rPr>
        <w:t>3.11</w:t>
      </w:r>
      <w:r>
        <w:tab/>
      </w:r>
      <w:r>
        <w:rPr>
          <w:rStyle w:val="23"/>
          <w:rFonts w:hint="eastAsia"/>
        </w:rPr>
        <w:t>凸窗</w:t>
      </w:r>
      <w:r>
        <w:tab/>
      </w:r>
      <w:r>
        <w:fldChar w:fldCharType="begin"/>
      </w:r>
      <w:r>
        <w:instrText xml:space="preserve"> PAGEREF _Toc316568063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"_Toc316568064" </w:instrText>
      </w:r>
      <w:r>
        <w:fldChar w:fldCharType="separate"/>
      </w:r>
      <w:r>
        <w:rPr>
          <w:rStyle w:val="23"/>
          <w:lang w:val="en-GB"/>
        </w:rPr>
        <w:t>3.11.1</w:t>
      </w:r>
      <w:r>
        <w:tab/>
      </w:r>
      <w:r>
        <w:rPr>
          <w:rStyle w:val="23"/>
          <w:rFonts w:hint="eastAsia"/>
        </w:rPr>
        <w:t>凸窗顶板构造</w:t>
      </w:r>
      <w:r>
        <w:tab/>
      </w:r>
      <w:r>
        <w:fldChar w:fldCharType="begin"/>
      </w:r>
      <w:r>
        <w:instrText xml:space="preserve"> PAGEREF _Toc316568064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"_Toc316568065" </w:instrText>
      </w:r>
      <w:r>
        <w:fldChar w:fldCharType="separate"/>
      </w:r>
      <w:r>
        <w:rPr>
          <w:rStyle w:val="23"/>
          <w:lang w:val="en-GB"/>
        </w:rPr>
        <w:t>3.11.2</w:t>
      </w:r>
      <w:r>
        <w:tab/>
      </w:r>
      <w:r>
        <w:rPr>
          <w:rStyle w:val="23"/>
          <w:rFonts w:hint="eastAsia"/>
        </w:rPr>
        <w:t>凸窗侧板构造</w:t>
      </w:r>
      <w:r>
        <w:tab/>
      </w:r>
      <w:r>
        <w:fldChar w:fldCharType="begin"/>
      </w:r>
      <w:r>
        <w:instrText xml:space="preserve"> PAGEREF _Toc316568065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"_Toc316568066" </w:instrText>
      </w:r>
      <w:r>
        <w:fldChar w:fldCharType="separate"/>
      </w:r>
      <w:r>
        <w:rPr>
          <w:rStyle w:val="23"/>
          <w:lang w:val="en-GB"/>
        </w:rPr>
        <w:t>3.11.3</w:t>
      </w:r>
      <w:r>
        <w:tab/>
      </w:r>
      <w:r>
        <w:rPr>
          <w:rStyle w:val="23"/>
          <w:rFonts w:hint="eastAsia"/>
        </w:rPr>
        <w:t>凸窗底板构造</w:t>
      </w:r>
      <w:r>
        <w:tab/>
      </w:r>
      <w:r>
        <w:fldChar w:fldCharType="begin"/>
      </w:r>
      <w:r>
        <w:instrText xml:space="preserve"> PAGEREF _Toc316568066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"_Toc316568067" </w:instrText>
      </w:r>
      <w:r>
        <w:fldChar w:fldCharType="separate"/>
      </w:r>
      <w:r>
        <w:rPr>
          <w:rStyle w:val="23"/>
          <w:lang w:val="en-GB"/>
        </w:rPr>
        <w:t>3.11.4</w:t>
      </w:r>
      <w:r>
        <w:tab/>
      </w:r>
      <w:r>
        <w:rPr>
          <w:rStyle w:val="23"/>
          <w:rFonts w:hint="eastAsia"/>
        </w:rPr>
        <w:t>凸窗透明部分</w:t>
      </w:r>
      <w:r>
        <w:tab/>
      </w:r>
      <w:r>
        <w:fldChar w:fldCharType="begin"/>
      </w:r>
      <w:r>
        <w:instrText xml:space="preserve"> PAGEREF _Toc316568067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"_Toc316568068" </w:instrText>
      </w:r>
      <w:r>
        <w:fldChar w:fldCharType="separate"/>
      </w:r>
      <w:r>
        <w:rPr>
          <w:rStyle w:val="23"/>
          <w:lang w:val="en-GB"/>
        </w:rPr>
        <w:t>3.12</w:t>
      </w:r>
      <w:r>
        <w:tab/>
      </w:r>
      <w:r>
        <w:rPr>
          <w:rStyle w:val="23"/>
          <w:rFonts w:hint="eastAsia"/>
        </w:rPr>
        <w:t>不采暖封闭阳台相关指标和构造</w:t>
      </w:r>
      <w:r>
        <w:tab/>
      </w:r>
      <w:r>
        <w:fldChar w:fldCharType="begin"/>
      </w:r>
      <w:r>
        <w:instrText xml:space="preserve"> PAGEREF _Toc316568068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"_Toc316568069" </w:instrText>
      </w:r>
      <w:r>
        <w:fldChar w:fldCharType="separate"/>
      </w:r>
      <w:r>
        <w:rPr>
          <w:rStyle w:val="23"/>
          <w:lang w:val="en-GB"/>
        </w:rPr>
        <w:t>3.12.1</w:t>
      </w:r>
      <w:r>
        <w:tab/>
      </w:r>
      <w:r>
        <w:rPr>
          <w:rStyle w:val="23"/>
          <w:rFonts w:hint="eastAsia"/>
        </w:rPr>
        <w:t>不采暖封闭阳台与室内的隔墙</w:t>
      </w:r>
      <w:r>
        <w:tab/>
      </w:r>
      <w:r>
        <w:fldChar w:fldCharType="begin"/>
      </w:r>
      <w:r>
        <w:instrText xml:space="preserve"> PAGEREF _Toc316568069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"_Toc316568070" </w:instrText>
      </w:r>
      <w:r>
        <w:fldChar w:fldCharType="separate"/>
      </w:r>
      <w:r>
        <w:rPr>
          <w:rStyle w:val="23"/>
          <w:lang w:val="en-GB"/>
        </w:rPr>
        <w:t>3.12.2</w:t>
      </w:r>
      <w:r>
        <w:tab/>
      </w:r>
      <w:r>
        <w:rPr>
          <w:rStyle w:val="23"/>
          <w:rFonts w:hint="eastAsia"/>
        </w:rPr>
        <w:t>不采暖封闭阳台与室内隔墙的门窗</w:t>
      </w:r>
      <w:r>
        <w:tab/>
      </w:r>
      <w:r>
        <w:fldChar w:fldCharType="begin"/>
      </w:r>
      <w:r>
        <w:instrText xml:space="preserve"> PAGEREF _Toc316568070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"_Toc316568071" </w:instrText>
      </w:r>
      <w:r>
        <w:fldChar w:fldCharType="separate"/>
      </w:r>
      <w:r>
        <w:rPr>
          <w:rStyle w:val="23"/>
          <w:lang w:val="en-GB"/>
        </w:rPr>
        <w:t>3.12.3</w:t>
      </w:r>
      <w:r>
        <w:tab/>
      </w:r>
      <w:r>
        <w:rPr>
          <w:rStyle w:val="23"/>
          <w:rFonts w:hint="eastAsia"/>
        </w:rPr>
        <w:t>不采暖封闭阳台隔墙窗墙面积比</w:t>
      </w:r>
      <w:r>
        <w:tab/>
      </w:r>
      <w:r>
        <w:fldChar w:fldCharType="begin"/>
      </w:r>
      <w:r>
        <w:instrText xml:space="preserve"> PAGEREF _Toc316568071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"_Toc316568072" </w:instrText>
      </w:r>
      <w:r>
        <w:fldChar w:fldCharType="separate"/>
      </w:r>
      <w:r>
        <w:rPr>
          <w:rStyle w:val="23"/>
          <w:lang w:val="en-GB"/>
        </w:rPr>
        <w:t>3.12.4</w:t>
      </w:r>
      <w:r>
        <w:tab/>
      </w:r>
      <w:r>
        <w:rPr>
          <w:rStyle w:val="23"/>
          <w:rFonts w:hint="eastAsia"/>
        </w:rPr>
        <w:t>不采暖封闭阳台外部墙板</w:t>
      </w:r>
      <w:r>
        <w:tab/>
      </w:r>
      <w:r>
        <w:fldChar w:fldCharType="begin"/>
      </w:r>
      <w:r>
        <w:instrText xml:space="preserve"> PAGEREF _Toc316568072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"_Toc316568073" </w:instrText>
      </w:r>
      <w:r>
        <w:fldChar w:fldCharType="separate"/>
      </w:r>
      <w:r>
        <w:rPr>
          <w:rStyle w:val="23"/>
          <w:lang w:val="en-GB"/>
        </w:rPr>
        <w:t>3.12.5</w:t>
      </w:r>
      <w:r>
        <w:tab/>
      </w:r>
      <w:r>
        <w:rPr>
          <w:rStyle w:val="23"/>
          <w:rFonts w:hint="eastAsia"/>
        </w:rPr>
        <w:t>不采暖封闭阳台上部顶板</w:t>
      </w:r>
      <w:r>
        <w:tab/>
      </w:r>
      <w:r>
        <w:fldChar w:fldCharType="begin"/>
      </w:r>
      <w:r>
        <w:instrText xml:space="preserve"> PAGEREF _Toc316568073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"_Toc316568074" </w:instrText>
      </w:r>
      <w:r>
        <w:fldChar w:fldCharType="separate"/>
      </w:r>
      <w:r>
        <w:rPr>
          <w:rStyle w:val="23"/>
          <w:lang w:val="en-GB"/>
        </w:rPr>
        <w:t>3.12.6</w:t>
      </w:r>
      <w:r>
        <w:tab/>
      </w:r>
      <w:r>
        <w:rPr>
          <w:rStyle w:val="23"/>
          <w:rFonts w:hint="eastAsia"/>
        </w:rPr>
        <w:t>不采暖封闭阳台底板</w:t>
      </w:r>
      <w:r>
        <w:tab/>
      </w:r>
      <w:r>
        <w:fldChar w:fldCharType="begin"/>
      </w:r>
      <w:r>
        <w:instrText xml:space="preserve"> PAGEREF _Toc316568074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"_Toc316568075" </w:instrText>
      </w:r>
      <w:r>
        <w:fldChar w:fldCharType="separate"/>
      </w:r>
      <w:r>
        <w:rPr>
          <w:rStyle w:val="23"/>
          <w:lang w:val="en-GB"/>
        </w:rPr>
        <w:t>3.12.7</w:t>
      </w:r>
      <w:r>
        <w:tab/>
      </w:r>
      <w:r>
        <w:rPr>
          <w:rStyle w:val="23"/>
          <w:rFonts w:hint="eastAsia"/>
        </w:rPr>
        <w:t>不采暖封闭阳台地面</w:t>
      </w:r>
      <w:r>
        <w:tab/>
      </w:r>
      <w:r>
        <w:fldChar w:fldCharType="begin"/>
      </w:r>
      <w:r>
        <w:instrText xml:space="preserve"> PAGEREF _Toc316568075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"_Toc316568076" </w:instrText>
      </w:r>
      <w:r>
        <w:fldChar w:fldCharType="separate"/>
      </w:r>
      <w:r>
        <w:rPr>
          <w:rStyle w:val="23"/>
          <w:lang w:val="en-GB"/>
        </w:rPr>
        <w:t>3.12.8</w:t>
      </w:r>
      <w:r>
        <w:tab/>
      </w:r>
      <w:r>
        <w:rPr>
          <w:rStyle w:val="23"/>
          <w:rFonts w:hint="eastAsia"/>
        </w:rPr>
        <w:t>不采暖封闭阳台外窗</w:t>
      </w:r>
      <w:r>
        <w:tab/>
      </w:r>
      <w:r>
        <w:fldChar w:fldCharType="begin"/>
      </w:r>
      <w:r>
        <w:instrText xml:space="preserve"> PAGEREF _Toc316568076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"_Toc316568077" </w:instrText>
      </w:r>
      <w:r>
        <w:fldChar w:fldCharType="separate"/>
      </w:r>
      <w:r>
        <w:rPr>
          <w:rStyle w:val="23"/>
          <w:lang w:val="en-GB"/>
        </w:rPr>
        <w:t>3.12.9</w:t>
      </w:r>
      <w:r>
        <w:tab/>
      </w:r>
      <w:r>
        <w:rPr>
          <w:rStyle w:val="23"/>
          <w:rFonts w:hint="eastAsia"/>
        </w:rPr>
        <w:t>不采暖封闭阳台外墙开间窗墙面积比</w:t>
      </w:r>
      <w:r>
        <w:tab/>
      </w:r>
      <w:r>
        <w:fldChar w:fldCharType="begin"/>
      </w:r>
      <w:r>
        <w:instrText xml:space="preserve"> PAGEREF _Toc316568077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"_Toc316568078" </w:instrText>
      </w:r>
      <w:r>
        <w:fldChar w:fldCharType="separate"/>
      </w:r>
      <w:r>
        <w:rPr>
          <w:rStyle w:val="23"/>
          <w:lang w:val="en-GB"/>
        </w:rPr>
        <w:t>3.13</w:t>
      </w:r>
      <w:r>
        <w:tab/>
      </w:r>
      <w:r>
        <w:rPr>
          <w:rStyle w:val="23"/>
          <w:rFonts w:hint="eastAsia"/>
        </w:rPr>
        <w:t>周边地面</w:t>
      </w:r>
      <w:r>
        <w:tab/>
      </w:r>
      <w:r>
        <w:fldChar w:fldCharType="begin"/>
      </w:r>
      <w:r>
        <w:instrText xml:space="preserve"> PAGEREF _Toc316568078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"_Toc316568079" </w:instrText>
      </w:r>
      <w:r>
        <w:fldChar w:fldCharType="separate"/>
      </w:r>
      <w:r>
        <w:rPr>
          <w:rStyle w:val="23"/>
          <w:lang w:val="en-GB"/>
        </w:rPr>
        <w:t>3.13.1</w:t>
      </w:r>
      <w:r>
        <w:tab/>
      </w:r>
      <w:r>
        <w:rPr>
          <w:rStyle w:val="23"/>
          <w:rFonts w:hint="eastAsia"/>
        </w:rPr>
        <w:t>典型周边地面分类</w:t>
      </w:r>
      <w:r>
        <w:tab/>
      </w:r>
      <w:r>
        <w:fldChar w:fldCharType="begin"/>
      </w:r>
      <w:r>
        <w:instrText xml:space="preserve"> PAGEREF _Toc316568079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"_Toc316568080" </w:instrText>
      </w:r>
      <w:r>
        <w:fldChar w:fldCharType="separate"/>
      </w:r>
      <w:r>
        <w:rPr>
          <w:rStyle w:val="23"/>
          <w:lang w:val="en-GB"/>
        </w:rPr>
        <w:t>3.13.2</w:t>
      </w:r>
      <w:r>
        <w:tab/>
      </w:r>
      <w:r>
        <w:rPr>
          <w:rStyle w:val="23"/>
          <w:rFonts w:hint="eastAsia"/>
        </w:rPr>
        <w:t>周边地面相关构造</w:t>
      </w:r>
      <w:r>
        <w:tab/>
      </w:r>
      <w:r>
        <w:fldChar w:fldCharType="begin"/>
      </w:r>
      <w:r>
        <w:instrText xml:space="preserve"> PAGEREF _Toc316568080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"_Toc316568081" </w:instrText>
      </w:r>
      <w:r>
        <w:fldChar w:fldCharType="separate"/>
      </w:r>
      <w:r>
        <w:rPr>
          <w:rStyle w:val="23"/>
          <w:lang w:val="en-GB"/>
        </w:rPr>
        <w:t>3.13.3</w:t>
      </w:r>
      <w:r>
        <w:tab/>
      </w:r>
      <w:r>
        <w:rPr>
          <w:rStyle w:val="23"/>
          <w:rFonts w:hint="eastAsia"/>
        </w:rPr>
        <w:t>周边地面平均热工性能</w:t>
      </w:r>
      <w:r>
        <w:tab/>
      </w:r>
      <w:r>
        <w:fldChar w:fldCharType="begin"/>
      </w:r>
      <w:r>
        <w:instrText xml:space="preserve"> PAGEREF _Toc316568081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"_Toc316568082" </w:instrText>
      </w:r>
      <w:r>
        <w:fldChar w:fldCharType="separate"/>
      </w:r>
      <w:r>
        <w:rPr>
          <w:rStyle w:val="23"/>
          <w:lang w:val="en-GB"/>
        </w:rPr>
        <w:t>3.14</w:t>
      </w:r>
      <w:r>
        <w:tab/>
      </w:r>
      <w:r>
        <w:rPr>
          <w:rStyle w:val="23"/>
          <w:rFonts w:hint="eastAsia"/>
        </w:rPr>
        <w:t>地下室外墙</w:t>
      </w:r>
      <w:r>
        <w:tab/>
      </w:r>
      <w:r>
        <w:fldChar w:fldCharType="begin"/>
      </w:r>
      <w:r>
        <w:instrText xml:space="preserve"> PAGEREF _Toc316568082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"_Toc316568083" </w:instrText>
      </w:r>
      <w:r>
        <w:fldChar w:fldCharType="separate"/>
      </w:r>
      <w:r>
        <w:rPr>
          <w:rStyle w:val="23"/>
          <w:lang w:val="en-GB"/>
        </w:rPr>
        <w:t>3.14.1</w:t>
      </w:r>
      <w:r>
        <w:tab/>
      </w:r>
      <w:r>
        <w:rPr>
          <w:rStyle w:val="23"/>
          <w:rFonts w:hint="eastAsia"/>
        </w:rPr>
        <w:t>地下墙相关构造</w:t>
      </w:r>
      <w:r>
        <w:tab/>
      </w:r>
      <w:r>
        <w:fldChar w:fldCharType="begin"/>
      </w:r>
      <w:r>
        <w:instrText xml:space="preserve"> PAGEREF _Toc316568083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"_Toc316568084" </w:instrText>
      </w:r>
      <w:r>
        <w:fldChar w:fldCharType="separate"/>
      </w:r>
      <w:r>
        <w:rPr>
          <w:rStyle w:val="23"/>
          <w:lang w:val="en-GB"/>
        </w:rPr>
        <w:t>3.14.2</w:t>
      </w:r>
      <w:r>
        <w:tab/>
      </w:r>
      <w:r>
        <w:rPr>
          <w:rStyle w:val="23"/>
          <w:rFonts w:hint="eastAsia"/>
        </w:rPr>
        <w:t>地下墙平均热工性能</w:t>
      </w:r>
      <w:r>
        <w:tab/>
      </w:r>
      <w:r>
        <w:fldChar w:fldCharType="begin"/>
      </w:r>
      <w:r>
        <w:instrText xml:space="preserve"> PAGEREF _Toc316568084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"_Toc316568085" </w:instrText>
      </w:r>
      <w:r>
        <w:fldChar w:fldCharType="separate"/>
      </w:r>
      <w:r>
        <w:rPr>
          <w:rStyle w:val="23"/>
          <w:lang w:val="en-GB"/>
        </w:rPr>
        <w:t>3.15</w:t>
      </w:r>
      <w:r>
        <w:tab/>
      </w:r>
      <w:r>
        <w:rPr>
          <w:rStyle w:val="23"/>
          <w:rFonts w:hint="eastAsia"/>
        </w:rPr>
        <w:t>外窗（包括敞开式阳台外门窗）气密性</w:t>
      </w:r>
      <w:r>
        <w:tab/>
      </w:r>
      <w:r>
        <w:fldChar w:fldCharType="begin"/>
      </w:r>
      <w:r>
        <w:instrText xml:space="preserve"> PAGEREF _Toc316568085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"_Toc316568086" </w:instrText>
      </w:r>
      <w:r>
        <w:fldChar w:fldCharType="separate"/>
      </w:r>
      <w:r>
        <w:rPr>
          <w:rStyle w:val="23"/>
          <w:lang w:val="en-GB"/>
        </w:rPr>
        <w:t>3.16</w:t>
      </w:r>
      <w:r>
        <w:tab/>
      </w:r>
      <w:r>
        <w:rPr>
          <w:rStyle w:val="23"/>
          <w:rFonts w:hint="eastAsia"/>
        </w:rPr>
        <w:t>规定性指标检查结论</w:t>
      </w:r>
      <w:r>
        <w:tab/>
      </w:r>
      <w:r>
        <w:fldChar w:fldCharType="begin"/>
      </w:r>
      <w:r>
        <w:instrText xml:space="preserve"> PAGEREF _Toc316568086 \h </w:instrText>
      </w:r>
      <w:r>
        <w:fldChar w:fldCharType="separate"/>
      </w:r>
      <w:r>
        <w:rPr>
          <w:rFonts w:hint="eastAsia"/>
          <w:b/>
          <w:bCs/>
        </w:rPr>
        <w:t>错误!未定义书签。</w:t>
      </w:r>
      <w:r>
        <w:fldChar w:fldCharType="end"/>
      </w:r>
      <w:r>
        <w:fldChar w:fldCharType="end"/>
      </w:r>
    </w:p>
    <w:p>
      <w:pPr>
        <w:pStyle w:val="17"/>
        <w:rPr>
          <w:b w:val="0"/>
          <w:bCs w:val="0"/>
        </w:rPr>
      </w:pPr>
      <w:r>
        <w:fldChar w:fldCharType="begin"/>
      </w:r>
      <w:r>
        <w:instrText xml:space="preserve"> HYPERLINK \l "_Toc316568087" </w:instrText>
      </w:r>
      <w:r>
        <w:fldChar w:fldCharType="separate"/>
      </w:r>
      <w:r>
        <w:rPr>
          <w:rStyle w:val="23"/>
        </w:rPr>
        <w:t>4</w:t>
      </w:r>
      <w:r>
        <w:rPr>
          <w:b w:val="0"/>
          <w:bCs w:val="0"/>
        </w:rPr>
        <w:tab/>
      </w:r>
      <w:r>
        <w:rPr>
          <w:rStyle w:val="23"/>
          <w:rFonts w:hint="eastAsia"/>
        </w:rPr>
        <w:t>热工性能权衡判断</w:t>
      </w:r>
      <w:r>
        <w:tab/>
      </w:r>
      <w:r>
        <w:fldChar w:fldCharType="begin"/>
      </w:r>
      <w:r>
        <w:instrText xml:space="preserve"> PAGEREF _Toc316568087 \h </w:instrText>
      </w:r>
      <w:r>
        <w:fldChar w:fldCharType="separate"/>
      </w:r>
      <w:r>
        <w:rPr>
          <w:rFonts w:hint="eastAsia"/>
          <w:b w:val="0"/>
          <w:bCs w:val="0"/>
        </w:rPr>
        <w:t>错误!未定义书签。</w:t>
      </w:r>
      <w:r>
        <w:fldChar w:fldCharType="end"/>
      </w:r>
      <w:r>
        <w:fldChar w:fldCharType="end"/>
      </w:r>
    </w:p>
    <w:p>
      <w:pPr>
        <w:pStyle w:val="18"/>
      </w:pPr>
      <w:r>
        <w:fldChar w:fldCharType="begin"/>
      </w:r>
      <w:r>
        <w:instrText xml:space="preserve"> HYPERLINK \l "_Toc316568088" </w:instrText>
      </w:r>
      <w:r>
        <w:fldChar w:fldCharType="separate"/>
      </w:r>
      <w:r>
        <w:rPr>
          <w:rStyle w:val="23"/>
          <w:lang w:val="en-GB"/>
        </w:rPr>
        <w:t>4.1</w:t>
      </w:r>
      <w:r>
        <w:tab/>
      </w:r>
      <w:r>
        <w:rPr>
          <w:rStyle w:val="23"/>
          <w:rFonts w:hint="eastAsia"/>
        </w:rPr>
        <w:t>说明</w:t>
      </w:r>
      <w:r>
        <w:tab/>
      </w:r>
      <w:r>
        <w:fldChar w:fldCharType="begin"/>
      </w:r>
      <w:r>
        <w:instrText xml:space="preserve"> PAGEREF _Toc316568088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"_Toc316568089" </w:instrText>
      </w:r>
      <w:r>
        <w:fldChar w:fldCharType="separate"/>
      </w:r>
      <w:r>
        <w:rPr>
          <w:rStyle w:val="23"/>
          <w:lang w:val="en-GB"/>
        </w:rPr>
        <w:t>4.2</w:t>
      </w:r>
      <w:r>
        <w:tab/>
      </w:r>
      <w:r>
        <w:rPr>
          <w:rStyle w:val="23"/>
          <w:rFonts w:hint="eastAsia"/>
        </w:rPr>
        <w:t>开间窗墙面积比</w:t>
      </w:r>
      <w:r>
        <w:tab/>
      </w:r>
      <w:r>
        <w:fldChar w:fldCharType="begin"/>
      </w:r>
      <w:r>
        <w:instrText xml:space="preserve"> PAGEREF _Toc316568089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"_Toc316568090" </w:instrText>
      </w:r>
      <w:r>
        <w:fldChar w:fldCharType="separate"/>
      </w:r>
      <w:r>
        <w:rPr>
          <w:rStyle w:val="23"/>
          <w:lang w:val="en-GB"/>
        </w:rPr>
        <w:t>4.3</w:t>
      </w:r>
      <w:r>
        <w:tab/>
      </w:r>
      <w:r>
        <w:rPr>
          <w:rStyle w:val="23"/>
          <w:rFonts w:hint="eastAsia"/>
        </w:rPr>
        <w:t>外墙平均传热系数</w:t>
      </w:r>
      <w:r>
        <w:tab/>
      </w:r>
      <w:r>
        <w:fldChar w:fldCharType="begin"/>
      </w:r>
      <w:r>
        <w:instrText xml:space="preserve"> PAGEREF _Toc316568090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"_Toc316568091" </w:instrText>
      </w:r>
      <w:r>
        <w:fldChar w:fldCharType="separate"/>
      </w:r>
      <w:r>
        <w:rPr>
          <w:rStyle w:val="23"/>
          <w:lang w:val="en-GB"/>
        </w:rPr>
        <w:t>4.4</w:t>
      </w:r>
      <w:r>
        <w:tab/>
      </w:r>
      <w:r>
        <w:rPr>
          <w:rStyle w:val="23"/>
          <w:rFonts w:hint="eastAsia"/>
        </w:rPr>
        <w:t>封闭阳台内隔墙、门、窗的平均传热系数</w:t>
      </w:r>
      <w:r>
        <w:tab/>
      </w:r>
      <w:r>
        <w:fldChar w:fldCharType="begin"/>
      </w:r>
      <w:r>
        <w:instrText xml:space="preserve"> PAGEREF _Toc316568091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"_Toc316568092" </w:instrText>
      </w:r>
      <w:r>
        <w:fldChar w:fldCharType="separate"/>
      </w:r>
      <w:r>
        <w:rPr>
          <w:rStyle w:val="23"/>
          <w:lang w:val="en-GB"/>
        </w:rPr>
        <w:t>4.5</w:t>
      </w:r>
      <w:r>
        <w:tab/>
      </w:r>
      <w:r>
        <w:rPr>
          <w:rStyle w:val="23"/>
          <w:rFonts w:hint="eastAsia"/>
        </w:rPr>
        <w:t>地面平均传热系数</w:t>
      </w:r>
      <w:r>
        <w:tab/>
      </w:r>
      <w:r>
        <w:fldChar w:fldCharType="begin"/>
      </w:r>
      <w:r>
        <w:instrText xml:space="preserve"> PAGEREF _Toc316568092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"_Toc316568093" </w:instrText>
      </w:r>
      <w:r>
        <w:fldChar w:fldCharType="separate"/>
      </w:r>
      <w:r>
        <w:rPr>
          <w:rStyle w:val="23"/>
          <w:lang w:val="en-GB"/>
        </w:rPr>
        <w:t>4.5.1</w:t>
      </w:r>
      <w:r>
        <w:tab/>
      </w:r>
      <w:r>
        <w:rPr>
          <w:rStyle w:val="23"/>
          <w:rFonts w:hint="eastAsia"/>
        </w:rPr>
        <w:t>典型地面分类</w:t>
      </w:r>
      <w:r>
        <w:tab/>
      </w:r>
      <w:r>
        <w:fldChar w:fldCharType="begin"/>
      </w:r>
      <w:r>
        <w:instrText xml:space="preserve"> PAGEREF _Toc316568093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"_Toc316568094" </w:instrText>
      </w:r>
      <w:r>
        <w:fldChar w:fldCharType="separate"/>
      </w:r>
      <w:r>
        <w:rPr>
          <w:rStyle w:val="23"/>
          <w:lang w:val="en-GB"/>
        </w:rPr>
        <w:t>4.5.2</w:t>
      </w:r>
      <w:r>
        <w:tab/>
      </w:r>
      <w:r>
        <w:rPr>
          <w:rStyle w:val="23"/>
          <w:rFonts w:hint="eastAsia"/>
        </w:rPr>
        <w:t>周边地面构造</w:t>
      </w:r>
      <w:r>
        <w:tab/>
      </w:r>
      <w:r>
        <w:fldChar w:fldCharType="begin"/>
      </w:r>
      <w:r>
        <w:instrText xml:space="preserve"> PAGEREF _Toc316568094 \h </w:instrText>
      </w:r>
      <w:r>
        <w:fldChar w:fldCharType="separate"/>
      </w:r>
      <w:r>
        <w:rPr>
          <w:rFonts w:hint="eastAsia"/>
          <w:b/>
          <w:bCs/>
        </w:rPr>
        <w:t>错误!未定义书签。</w:t>
      </w:r>
      <w:r>
        <w:fldChar w:fldCharType="end"/>
      </w:r>
      <w:r>
        <w:fldChar w:fldCharType="end"/>
      </w:r>
    </w:p>
    <w:p>
      <w:pPr>
        <w:pStyle w:val="13"/>
      </w:pPr>
      <w:r>
        <w:fldChar w:fldCharType="begin"/>
      </w:r>
      <w:r>
        <w:instrText xml:space="preserve"> HYPERLINK \l "_Toc316568095" </w:instrText>
      </w:r>
      <w:r>
        <w:fldChar w:fldCharType="separate"/>
      </w:r>
      <w:r>
        <w:rPr>
          <w:rStyle w:val="23"/>
          <w:lang w:val="en-GB"/>
        </w:rPr>
        <w:t>4.5.3</w:t>
      </w:r>
      <w:r>
        <w:tab/>
      </w:r>
      <w:r>
        <w:rPr>
          <w:rStyle w:val="23"/>
          <w:rFonts w:hint="eastAsia"/>
        </w:rPr>
        <w:t>非周边地面构造</w:t>
      </w:r>
      <w:r>
        <w:tab/>
      </w:r>
      <w:r>
        <w:fldChar w:fldCharType="begin"/>
      </w:r>
      <w:r>
        <w:instrText xml:space="preserve"> PAGEREF _Toc316568095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"_Toc316568096" </w:instrText>
      </w:r>
      <w:r>
        <w:fldChar w:fldCharType="separate"/>
      </w:r>
      <w:r>
        <w:rPr>
          <w:rStyle w:val="23"/>
          <w:lang w:val="en-GB"/>
        </w:rPr>
        <w:t>4.6</w:t>
      </w:r>
      <w:r>
        <w:tab/>
      </w:r>
      <w:r>
        <w:rPr>
          <w:rStyle w:val="23"/>
          <w:rFonts w:hint="eastAsia"/>
        </w:rPr>
        <w:t>建筑总耗热量计算</w:t>
      </w:r>
      <w:r>
        <w:tab/>
      </w:r>
      <w:r>
        <w:fldChar w:fldCharType="begin"/>
      </w:r>
      <w:r>
        <w:instrText xml:space="preserve"> PAGEREF _Toc316568096 \h </w:instrText>
      </w:r>
      <w:r>
        <w:fldChar w:fldCharType="separate"/>
      </w:r>
      <w:r>
        <w:rPr>
          <w:rFonts w:hint="eastAsia"/>
          <w:b/>
          <w:bCs/>
        </w:rPr>
        <w:t>错误!未定义书签。</w:t>
      </w:r>
      <w:r>
        <w:fldChar w:fldCharType="end"/>
      </w:r>
      <w:r>
        <w:fldChar w:fldCharType="end"/>
      </w:r>
    </w:p>
    <w:p>
      <w:pPr>
        <w:pStyle w:val="18"/>
      </w:pPr>
      <w:r>
        <w:fldChar w:fldCharType="begin"/>
      </w:r>
      <w:r>
        <w:instrText xml:space="preserve"> HYPERLINK \l "_Toc316568097" </w:instrText>
      </w:r>
      <w:r>
        <w:fldChar w:fldCharType="separate"/>
      </w:r>
      <w:r>
        <w:rPr>
          <w:rStyle w:val="23"/>
          <w:lang w:val="en-GB"/>
        </w:rPr>
        <w:t>4.7</w:t>
      </w:r>
      <w:r>
        <w:tab/>
      </w:r>
      <w:r>
        <w:rPr>
          <w:rStyle w:val="23"/>
          <w:rFonts w:hint="eastAsia"/>
        </w:rPr>
        <w:t>热工性能权衡判断结论</w:t>
      </w:r>
      <w:r>
        <w:tab/>
      </w:r>
      <w:r>
        <w:fldChar w:fldCharType="begin"/>
      </w:r>
      <w:r>
        <w:instrText xml:space="preserve"> PAGEREF _Toc316568097 \h </w:instrText>
      </w:r>
      <w:r>
        <w:fldChar w:fldCharType="separate"/>
      </w:r>
      <w:r>
        <w:rPr>
          <w:rFonts w:hint="eastAsia"/>
          <w:b/>
          <w:bCs/>
        </w:rPr>
        <w:t>错误!未定义书签。</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begin"/>
      </w:r>
      <w:r>
        <w:instrText xml:space="preserve"> HYPERLINK \l "_Toc316568098" </w:instrText>
      </w:r>
      <w:r>
        <w:fldChar w:fldCharType="separate"/>
      </w:r>
      <w:r>
        <w:rPr>
          <w:rStyle w:val="23"/>
        </w:rPr>
        <w:t>5</w:t>
      </w:r>
      <w:r>
        <w:rPr>
          <w:b w:val="0"/>
          <w:bCs w:val="0"/>
        </w:rPr>
        <w:tab/>
      </w:r>
      <w:r>
        <w:rPr>
          <w:rStyle w:val="23"/>
          <w:rFonts w:hint="eastAsia"/>
        </w:rPr>
        <w:t>附表</w:t>
      </w:r>
      <w:r>
        <w:rPr>
          <w:rStyle w:val="23"/>
        </w:rPr>
        <w:t xml:space="preserve"> </w:t>
      </w:r>
      <w:r>
        <w:rPr>
          <w:rStyle w:val="23"/>
          <w:rFonts w:hint="eastAsia"/>
        </w:rPr>
        <w:t>耗热量计算详表</w:t>
      </w:r>
      <w:r>
        <w:tab/>
      </w:r>
      <w:r>
        <w:fldChar w:fldCharType="begin"/>
      </w:r>
      <w:r>
        <w:instrText xml:space="preserve"> PAGEREF _Toc316568098 \h </w:instrText>
      </w:r>
      <w:r>
        <w:fldChar w:fldCharType="separate"/>
      </w:r>
      <w:r>
        <w:rPr>
          <w:rFonts w:hint="eastAsia"/>
          <w:b w:val="0"/>
          <w:bCs w:val="0"/>
        </w:rPr>
        <w:t>错误!未定义书签。</w:t>
      </w:r>
      <w:r>
        <w:fldChar w:fldCharType="end"/>
      </w:r>
      <w:r>
        <w:fldChar w:fldCharType="end"/>
      </w:r>
      <w:r>
        <w:fldChar w:fldCharType="end"/>
      </w:r>
    </w:p>
    <w:p>
      <w:pPr>
        <w:pStyle w:val="17"/>
      </w:pPr>
    </w:p>
    <w:p>
      <w:pPr>
        <w:pStyle w:val="2"/>
      </w:pPr>
      <w:bookmarkStart w:id="12" w:name="_Toc316568035"/>
      <w:r>
        <w:rPr>
          <w:rFonts w:hint="eastAsia"/>
        </w:rPr>
        <w:t>建筑概况</w:t>
      </w:r>
    </w:p>
    <w:tbl>
      <w:tblPr>
        <w:tblStyle w:val="19"/>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麓湖绿色住区设计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四川-成都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31.00°</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104.01°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4262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7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21.0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12785.88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3744.99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全年控温</w:t>
            </w:r>
          </w:p>
        </w:tc>
      </w:tr>
    </w:tbl>
    <w:p>
      <w:pPr>
        <w:pStyle w:val="3"/>
        <w:ind w:firstLine="0" w:firstLineChars="0"/>
        <w:rPr>
          <w:lang w:val="en-US"/>
        </w:rPr>
      </w:pPr>
      <w:bookmarkStart w:id="30" w:name="_Toc316568036"/>
      <w:bookmarkStart w:id="31" w:name="TitleFormat"/>
    </w:p>
    <w:p>
      <w:pPr>
        <w:pStyle w:val="3"/>
        <w:ind w:firstLine="0" w:firstLineChars="0"/>
        <w:rPr>
          <w:lang w:val="en-US"/>
        </w:rPr>
      </w:pPr>
    </w:p>
    <w:p>
      <w:pPr>
        <w:pStyle w:val="2"/>
      </w:pPr>
      <w:r>
        <w:rPr>
          <w:rFonts w:hint="eastAsia"/>
        </w:rPr>
        <w:t>计算依据</w:t>
      </w:r>
    </w:p>
    <w:p>
      <w:pPr>
        <w:widowControl w:val="0"/>
        <w:jc w:val="both"/>
        <w:rPr>
          <w:kern w:val="2"/>
          <w:szCs w:val="24"/>
          <w:lang w:val="en-US"/>
        </w:rPr>
      </w:pPr>
      <w:bookmarkStart w:id="32" w:name="计算依据"/>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《夏热冬冷地区居住建筑节能设计标准》（JGJ 134-2010）</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3" w:name="_Toc31856"/>
      <w:bookmarkStart w:id="34" w:name="_Toc25351"/>
      <w:r>
        <w:rPr>
          <w:rFonts w:hint="eastAsia"/>
        </w:rPr>
        <w:t>计算要求</w:t>
      </w:r>
    </w:p>
    <w:p>
      <w:pPr>
        <w:pStyle w:val="4"/>
        <w:tabs>
          <w:tab w:val="clear" w:pos="578"/>
        </w:tabs>
        <w:rPr>
          <w:kern w:val="2"/>
          <w:sz w:val="21"/>
        </w:rPr>
      </w:pPr>
      <w:bookmarkStart w:id="35" w:name="_Toc3445"/>
      <w:bookmarkStart w:id="36" w:name="_Toc20530"/>
      <w:r>
        <w:rPr>
          <w:rFonts w:hint="eastAsia"/>
          <w:kern w:val="2"/>
          <w:sz w:val="21"/>
        </w:rPr>
        <w:t>计算目标</w:t>
      </w:r>
    </w:p>
    <w:p>
      <w:pPr>
        <w:spacing w:line="360" w:lineRule="auto"/>
        <w:ind w:firstLine="420" w:firstLineChars="200"/>
        <w:rPr>
          <w:kern w:val="2"/>
          <w:szCs w:val="24"/>
          <w:lang w:val="en-US"/>
        </w:rPr>
      </w:pPr>
      <w:bookmarkStart w:id="37" w:name="_Toc30695"/>
      <w:bookmarkStart w:id="38"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pPr>
        <w:pStyle w:val="4"/>
        <w:tabs>
          <w:tab w:val="clear" w:pos="578"/>
        </w:tabs>
        <w:rPr>
          <w:kern w:val="2"/>
          <w:sz w:val="21"/>
        </w:rPr>
      </w:pPr>
      <w:r>
        <w:rPr>
          <w:rFonts w:hint="eastAsia"/>
          <w:kern w:val="2"/>
          <w:sz w:val="21"/>
        </w:rPr>
        <w:t>计算方法</w:t>
      </w:r>
    </w:p>
    <w:p>
      <w:pPr>
        <w:pStyle w:val="3"/>
        <w:ind w:firstLine="420"/>
        <w:jc w:val="left"/>
        <w:rPr>
          <w:lang w:val="en-US"/>
        </w:rPr>
      </w:pPr>
      <w:r>
        <w:rPr>
          <w:rFonts w:hint="eastAsia"/>
          <w:lang w:val="en-US"/>
        </w:rPr>
        <w:t>建立参照</w:t>
      </w:r>
      <w:r>
        <w:rPr>
          <w:lang w:val="en-US"/>
        </w:rPr>
        <w:t>建筑，参照建筑的热工参数、</w:t>
      </w:r>
      <w:r>
        <w:rPr>
          <w:rFonts w:hint="eastAsia"/>
          <w:lang w:val="en-US"/>
        </w:rPr>
        <w:t>采暖</w:t>
      </w:r>
      <w:r>
        <w:rPr>
          <w:lang w:val="en-US"/>
        </w:rPr>
        <w:t>空调照明形式及设备满足</w:t>
      </w:r>
      <w:r>
        <w:rPr>
          <w:rFonts w:hint="eastAsia"/>
          <w:lang w:val="en-US"/>
        </w:rPr>
        <w:t>现行</w:t>
      </w:r>
      <w:r>
        <w:rPr>
          <w:lang w:val="en-US"/>
        </w:rPr>
        <w:t>国家节能标准要求</w:t>
      </w:r>
      <w:r>
        <w:rPr>
          <w:rFonts w:hint="eastAsia"/>
          <w:lang w:val="en-US"/>
        </w:rPr>
        <w:t>。</w:t>
      </w:r>
    </w:p>
    <w:p>
      <w:pPr>
        <w:pStyle w:val="3"/>
        <w:ind w:firstLine="420"/>
        <w:jc w:val="left"/>
        <w:rPr>
          <w:lang w:val="en-US"/>
        </w:rPr>
      </w:pPr>
      <w:r>
        <w:rPr>
          <w:rFonts w:hint="eastAsia"/>
          <w:lang w:val="en-US"/>
        </w:rPr>
        <w:t>根据现行行业标准《民用建筑绿色性能计算标准》JGJ/T449的相关规定，分别计算设计建筑及参照建筑的供暖空调和照明系统能耗，计算其节能率并进行得分判定。</w:t>
      </w:r>
    </w:p>
    <w:p>
      <w:pPr>
        <w:pStyle w:val="3"/>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pPr>
        <w:pStyle w:val="3"/>
        <w:ind w:firstLine="840" w:firstLineChars="40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pPr>
        <w:pStyle w:val="2"/>
      </w:pPr>
      <w:r>
        <w:rPr>
          <w:rFonts w:hint="eastAsia"/>
        </w:rPr>
        <w:t>气象数据</w:t>
      </w:r>
    </w:p>
    <w:p>
      <w:pPr>
        <w:pStyle w:val="4"/>
      </w:pPr>
      <w:r>
        <w:rPr>
          <w:rFonts w:hint="eastAsia"/>
        </w:rPr>
        <w:t>气象地点</w:t>
      </w:r>
    </w:p>
    <w:p>
      <w:pPr>
        <w:pStyle w:val="3"/>
        <w:ind w:firstLine="420"/>
        <w:rPr>
          <w:lang w:val="en-US"/>
        </w:rPr>
      </w:pPr>
      <w:bookmarkStart w:id="39" w:name="气象数据来源"/>
      <w:r>
        <w:t>四川-成都, 《中国建筑热环境分析专用气象数据集》</w:t>
      </w:r>
    </w:p>
    <w:p>
      <w:pPr>
        <w:pStyle w:val="4"/>
      </w:pPr>
      <w:r>
        <w:rPr>
          <w:rFonts w:hint="eastAsia"/>
        </w:rPr>
        <w:t>逐日干球温度表</w:t>
      </w:r>
    </w:p>
    <w:p>
      <w:pPr>
        <w:pStyle w:val="3"/>
        <w:ind w:firstLine="0" w:firstLineChars="0"/>
        <w:rPr>
          <w:lang w:val="en-US"/>
        </w:rPr>
      </w:pPr>
      <w:bookmarkStart w:id="40" w:name="日均干球温度变化表"/>
    </w:p>
    <w:p>
      <w:pPr>
        <w:pStyle w:val="4"/>
      </w:pPr>
      <w:r>
        <w:rPr>
          <w:rFonts w:hint="eastAsia"/>
        </w:rPr>
        <w:t>逐月辐照量表</w:t>
      </w:r>
    </w:p>
    <w:p>
      <w:pPr>
        <w:pStyle w:val="3"/>
        <w:ind w:firstLine="0" w:firstLineChars="0"/>
        <w:rPr>
          <w:lang w:val="en-US"/>
        </w:rPr>
      </w:pPr>
      <w:bookmarkStart w:id="41" w:name="逐月辐照量图表"/>
    </w:p>
    <w:p>
      <w:pPr>
        <w:pStyle w:val="4"/>
      </w:pPr>
      <w:r>
        <w:rPr>
          <w:rFonts w:hint="eastAsia"/>
        </w:rPr>
        <w:t>峰值工况</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06月14日14时</w:t>
            </w:r>
          </w:p>
        </w:tc>
        <w:tc>
          <w:tcPr>
            <w:vAlign w:val="center"/>
          </w:tcPr>
          <w:p>
            <w:r>
              <w:t>35.0</w:t>
            </w:r>
          </w:p>
        </w:tc>
        <w:tc>
          <w:tcPr>
            <w:vAlign w:val="center"/>
          </w:tcPr>
          <w:p>
            <w:r>
              <w:t>25.0</w:t>
            </w:r>
          </w:p>
        </w:tc>
        <w:tc>
          <w:tcPr>
            <w:vAlign w:val="center"/>
          </w:tcPr>
          <w:p>
            <w:r>
              <w:t>17.2</w:t>
            </w:r>
          </w:p>
        </w:tc>
        <w:tc>
          <w:tcPr>
            <w:vAlign w:val="center"/>
          </w:tcPr>
          <w:p>
            <w:r>
              <w:t>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01月05日06时</w:t>
            </w:r>
          </w:p>
        </w:tc>
        <w:tc>
          <w:tcPr>
            <w:vAlign w:val="center"/>
          </w:tcPr>
          <w:p>
            <w:r>
              <w:t>-1.1</w:t>
            </w:r>
          </w:p>
        </w:tc>
        <w:tc>
          <w:tcPr>
            <w:vAlign w:val="center"/>
          </w:tcPr>
          <w:p>
            <w:r>
              <w:t>-1.1</w:t>
            </w:r>
          </w:p>
        </w:tc>
        <w:tc>
          <w:tcPr>
            <w:vAlign w:val="center"/>
          </w:tcPr>
          <w:p>
            <w:r>
              <w:t>3.4</w:t>
            </w:r>
          </w:p>
        </w:tc>
        <w:tc>
          <w:tcPr>
            <w:vAlign w:val="center"/>
          </w:tcPr>
          <w:p>
            <w:r>
              <w:t>7.4</w:t>
            </w:r>
          </w:p>
        </w:tc>
      </w:tr>
    </w:tbl>
    <w:p>
      <w:pPr>
        <w:pStyle w:val="2"/>
        <w:widowControl w:val="0"/>
        <w:jc w:val="both"/>
      </w:pPr>
      <w:bookmarkStart w:id="42" w:name="气象峰值工况"/>
      <w:r>
        <w:t>围护结构</w:t>
      </w:r>
    </w:p>
    <w:p>
      <w:pPr>
        <w:pStyle w:val="4"/>
        <w:widowControl w:val="0"/>
        <w:jc w:val="both"/>
      </w:pPr>
      <w:r>
        <w:t>工程材料</w:t>
      </w:r>
    </w:p>
    <w:tbl>
      <w:tblPr>
        <w:tblStyle w:val="19"/>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蒸汽渗透系数u</w:t>
            </w:r>
          </w:p>
        </w:tc>
        <w:tc>
          <w:tcPr>
            <w:vMerge w:val="restart"/>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碎石、卵石混凝土(ρ=2300)</w:t>
            </w:r>
          </w:p>
        </w:tc>
        <w:tc>
          <w:tcPr>
            <w:vAlign w:val="center"/>
          </w:tcPr>
          <w:p>
            <w:r>
              <w:t>1.510</w:t>
            </w:r>
          </w:p>
        </w:tc>
        <w:tc>
          <w:tcPr>
            <w:vAlign w:val="center"/>
          </w:tcPr>
          <w:p>
            <w:r>
              <w:t>15.360</w:t>
            </w:r>
          </w:p>
        </w:tc>
        <w:tc>
          <w:tcPr>
            <w:vAlign w:val="center"/>
          </w:tcPr>
          <w:p>
            <w:r>
              <w:t>2300.0</w:t>
            </w:r>
          </w:p>
        </w:tc>
        <w:tc>
          <w:tcPr>
            <w:vAlign w:val="center"/>
          </w:tcPr>
          <w:p>
            <w:r>
              <w:t>920.0</w:t>
            </w:r>
          </w:p>
        </w:tc>
        <w:tc>
          <w:tcPr>
            <w:vAlign w:val="center"/>
          </w:tcPr>
          <w:p>
            <w:r>
              <w:t>0.0173</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挤塑聚苯板(ρ=25-32)</w:t>
            </w:r>
          </w:p>
        </w:tc>
        <w:tc>
          <w:tcPr>
            <w:vAlign w:val="center"/>
          </w:tcPr>
          <w:p>
            <w:r>
              <w:t>0.030</w:t>
            </w:r>
          </w:p>
        </w:tc>
        <w:tc>
          <w:tcPr>
            <w:vAlign w:val="center"/>
          </w:tcPr>
          <w:p>
            <w:r>
              <w:t>0.320</w:t>
            </w:r>
          </w:p>
        </w:tc>
        <w:tc>
          <w:tcPr>
            <w:vAlign w:val="center"/>
          </w:tcPr>
          <w:p>
            <w:r>
              <w:t>28.5</w:t>
            </w:r>
          </w:p>
        </w:tc>
        <w:tc>
          <w:tcPr>
            <w:vAlign w:val="center"/>
          </w:tcPr>
          <w:p>
            <w:r>
              <w:t>1647.0</w:t>
            </w:r>
          </w:p>
        </w:tc>
        <w:tc>
          <w:tcPr>
            <w:vAlign w:val="center"/>
          </w:tcPr>
          <w:p>
            <w:r>
              <w:t>0.0162</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加气混凝土、泡沫混凝土(ρ=700)</w:t>
            </w:r>
          </w:p>
        </w:tc>
        <w:tc>
          <w:tcPr>
            <w:vAlign w:val="center"/>
          </w:tcPr>
          <w:p>
            <w:r>
              <w:t>0.220</w:t>
            </w:r>
          </w:p>
        </w:tc>
        <w:tc>
          <w:tcPr>
            <w:vAlign w:val="center"/>
          </w:tcPr>
          <w:p>
            <w:r>
              <w:t>3.590</w:t>
            </w:r>
          </w:p>
        </w:tc>
        <w:tc>
          <w:tcPr>
            <w:vAlign w:val="center"/>
          </w:tcPr>
          <w:p>
            <w:r>
              <w:t>700.0</w:t>
            </w:r>
          </w:p>
        </w:tc>
        <w:tc>
          <w:tcPr>
            <w:vAlign w:val="center"/>
          </w:tcPr>
          <w:p>
            <w:r>
              <w:t>1050.0</w:t>
            </w:r>
          </w:p>
        </w:tc>
        <w:tc>
          <w:tcPr>
            <w:vAlign w:val="center"/>
          </w:tcPr>
          <w:p>
            <w:r>
              <w:t>0.0998</w:t>
            </w:r>
          </w:p>
        </w:tc>
        <w:tc>
          <w:tcPr>
            <w:vAlign w:val="center"/>
          </w:tcPr>
          <w:p>
            <w:r>
              <w:rPr>
                <w:sz w:val="18"/>
                <w:szCs w:val="18"/>
              </w:rPr>
              <w:t>来源：《民用建筑热工设计规范（GB50176-93）》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bl>
    <w:p>
      <w:pPr>
        <w:pStyle w:val="2"/>
        <w:widowControl w:val="0"/>
        <w:jc w:val="both"/>
      </w:pPr>
      <w:r>
        <w:t>围护结构概况</w:t>
      </w:r>
    </w:p>
    <w:p/>
    <w:tbl>
      <w:tblPr>
        <w:tblStyle w:val="19"/>
        <w:tblW w:w="52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63"/>
        <w:gridCol w:w="859"/>
        <w:gridCol w:w="1017"/>
        <w:gridCol w:w="794"/>
        <w:gridCol w:w="794"/>
        <w:gridCol w:w="765"/>
        <w:gridCol w:w="907"/>
        <w:gridCol w:w="794"/>
        <w:gridCol w:w="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jc w:val="center"/>
              <w:rPr>
                <w:rFonts w:eastAsia="宋体"/>
                <w:bCs/>
                <w:sz w:val="21"/>
                <w:szCs w:val="21"/>
                <w:lang w:eastAsia="zh-CN"/>
              </w:rPr>
            </w:pPr>
          </w:p>
        </w:tc>
        <w:tc>
          <w:tcPr>
            <w:tcW w:w="1730" w:type="pct"/>
            <w:gridSpan w:val="4"/>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c>
          <w:tcPr>
            <w:tcW w:w="1740" w:type="pct"/>
            <w:gridSpan w:val="4"/>
            <w:shd w:val="clear" w:color="auto" w:fill="E6E6E6"/>
            <w:vAlign w:val="center"/>
          </w:tcPr>
          <w:p>
            <w:pPr>
              <w:jc w:val="center"/>
              <w:rPr>
                <w:rFonts w:eastAsia="宋体"/>
                <w:bCs/>
                <w:sz w:val="21"/>
                <w:szCs w:val="21"/>
                <w:lang w:eastAsia="zh-CN"/>
              </w:rPr>
            </w:pPr>
            <w:r>
              <w:rPr>
                <w:rFonts w:hAnsi="宋体" w:eastAsia="宋体"/>
                <w:kern w:val="0"/>
                <w:sz w:val="21"/>
                <w:szCs w:val="21"/>
                <w:lang w:eastAsia="zh-CN"/>
              </w:rPr>
              <w:t>参照建筑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173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0.29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0.29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0.83</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1.13</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屋顶透明部分遮阳系数</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1.19</w:t>
            </w:r>
          </w:p>
        </w:tc>
        <w:tc>
          <w:tcPr>
            <w:tcW w:w="1740" w:type="pct"/>
            <w:gridSpan w:val="4"/>
            <w:vAlign w:val="center"/>
          </w:tcPr>
          <w:p>
            <w:pPr>
              <w:widowControl/>
              <w:jc w:val="center"/>
              <w:rPr>
                <w:rFonts w:eastAsia="宋体"/>
                <w:kern w:val="0"/>
                <w:sz w:val="21"/>
                <w:szCs w:val="21"/>
                <w:lang w:eastAsia="zh-CN"/>
              </w:rPr>
            </w:pPr>
            <w:r>
              <w:rPr>
                <w:rFonts w:hint="eastAsia" w:eastAsia="宋体"/>
                <w:kern w:val="0"/>
                <w:sz w:val="21"/>
                <w:szCs w:val="21"/>
                <w:lang w:eastAsia="zh-CN"/>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楼板</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2.98</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分户墙</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1730" w:type="pct"/>
            <w:gridSpan w:val="4"/>
            <w:vAlign w:val="center"/>
          </w:tcPr>
          <w:p>
            <w:pPr>
              <w:jc w:val="center"/>
              <w:rPr>
                <w:rFonts w:eastAsia="宋体"/>
                <w:bCs/>
                <w:sz w:val="21"/>
                <w:szCs w:val="21"/>
                <w:lang w:eastAsia="zh-CN"/>
              </w:rPr>
            </w:pPr>
            <w:r>
              <w:rPr>
                <w:rFonts w:hint="eastAsia" w:eastAsia="宋体"/>
                <w:bCs/>
                <w:sz w:val="21"/>
                <w:szCs w:val="21"/>
                <w:lang w:eastAsia="zh-CN"/>
              </w:rPr>
              <w:t>1.93</w:t>
            </w:r>
          </w:p>
        </w:tc>
        <w:tc>
          <w:tcPr>
            <w:tcW w:w="1740" w:type="pct"/>
            <w:gridSpan w:val="4"/>
            <w:vAlign w:val="center"/>
          </w:tcPr>
          <w:p>
            <w:pPr>
              <w:jc w:val="center"/>
              <w:rPr>
                <w:rFonts w:eastAsia="宋体"/>
                <w:bCs/>
                <w:sz w:val="21"/>
                <w:szCs w:val="21"/>
                <w:lang w:eastAsia="zh-CN"/>
              </w:rPr>
            </w:pPr>
            <w:r>
              <w:rPr>
                <w:rFonts w:hint="eastAsia" w:eastAsia="宋体"/>
                <w:bCs/>
                <w:sz w:val="21"/>
                <w:szCs w:val="21"/>
                <w:lang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23"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606"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450"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31"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749"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c>
          <w:tcPr>
            <w:tcW w:w="402"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475" w:type="pct"/>
            <w:vMerge w:val="restar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64" w:type="pct"/>
            <w:gridSpan w:val="2"/>
            <w:shd w:val="clear" w:color="auto" w:fill="E6E6E6"/>
            <w:vAlign w:val="center"/>
          </w:tcPr>
          <w:p>
            <w:pPr>
              <w:jc w:val="center"/>
              <w:rPr>
                <w:rFonts w:eastAsia="宋体"/>
                <w:bCs/>
                <w:sz w:val="18"/>
                <w:szCs w:val="18"/>
                <w:lang w:eastAsia="zh-CN"/>
              </w:rPr>
            </w:pPr>
            <w:r>
              <w:rPr>
                <w:rFonts w:hint="eastAsia" w:eastAsia="宋体"/>
                <w:bCs/>
                <w:sz w:val="18"/>
                <w:szCs w:val="18"/>
                <w:lang w:eastAsia="zh-CN"/>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923" w:type="pct"/>
            <w:vMerge w:val="continue"/>
            <w:shd w:val="clear" w:color="auto" w:fill="E6E6E6"/>
            <w:vAlign w:val="center"/>
          </w:tcPr>
          <w:p>
            <w:pPr>
              <w:jc w:val="center"/>
              <w:rPr>
                <w:rFonts w:eastAsia="宋体"/>
                <w:sz w:val="21"/>
                <w:szCs w:val="21"/>
                <w:lang w:eastAsia="zh-CN"/>
              </w:rPr>
            </w:pPr>
          </w:p>
        </w:tc>
        <w:tc>
          <w:tcPr>
            <w:tcW w:w="606" w:type="pct"/>
            <w:vMerge w:val="continue"/>
            <w:shd w:val="clear" w:color="auto" w:fill="E6E6E6"/>
            <w:vAlign w:val="center"/>
          </w:tcPr>
          <w:p>
            <w:pPr>
              <w:jc w:val="center"/>
              <w:rPr>
                <w:rFonts w:eastAsia="宋体"/>
                <w:bCs/>
                <w:sz w:val="21"/>
                <w:szCs w:val="21"/>
                <w:lang w:eastAsia="zh-CN"/>
              </w:rPr>
            </w:pPr>
          </w:p>
        </w:tc>
        <w:tc>
          <w:tcPr>
            <w:tcW w:w="450" w:type="pct"/>
            <w:vMerge w:val="continue"/>
            <w:shd w:val="clear" w:color="auto" w:fill="E6E6E6"/>
            <w:vAlign w:val="center"/>
          </w:tcPr>
          <w:p>
            <w:pPr>
              <w:jc w:val="center"/>
              <w:rPr>
                <w:rFonts w:eastAsia="宋体"/>
                <w:bCs/>
                <w:sz w:val="21"/>
                <w:szCs w:val="21"/>
                <w:lang w:eastAsia="zh-CN"/>
              </w:rPr>
            </w:pPr>
          </w:p>
        </w:tc>
        <w:tc>
          <w:tcPr>
            <w:tcW w:w="531" w:type="pct"/>
            <w:vMerge w:val="continue"/>
            <w:shd w:val="clear" w:color="auto" w:fill="E6E6E6"/>
            <w:vAlign w:val="center"/>
          </w:tcPr>
          <w:p>
            <w:pPr>
              <w:jc w:val="center"/>
              <w:rPr>
                <w:rFonts w:eastAsia="宋体"/>
                <w:bCs/>
                <w:sz w:val="21"/>
                <w:szCs w:val="21"/>
                <w:lang w:eastAsia="zh-CN"/>
              </w:rPr>
            </w:pPr>
          </w:p>
        </w:tc>
        <w:tc>
          <w:tcPr>
            <w:tcW w:w="361"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38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c>
          <w:tcPr>
            <w:tcW w:w="402" w:type="pct"/>
            <w:vMerge w:val="continue"/>
            <w:shd w:val="clear" w:color="auto" w:fill="E6E6E6"/>
            <w:vAlign w:val="center"/>
          </w:tcPr>
          <w:p>
            <w:pPr>
              <w:jc w:val="center"/>
              <w:rPr>
                <w:rFonts w:eastAsia="宋体"/>
                <w:bCs/>
                <w:sz w:val="21"/>
                <w:szCs w:val="21"/>
                <w:lang w:eastAsia="zh-CN"/>
              </w:rPr>
            </w:pPr>
          </w:p>
        </w:tc>
        <w:tc>
          <w:tcPr>
            <w:tcW w:w="475" w:type="pct"/>
            <w:vMerge w:val="continue"/>
            <w:shd w:val="clear" w:color="auto" w:fill="E6E6E6"/>
            <w:vAlign w:val="center"/>
          </w:tcPr>
          <w:p>
            <w:pPr>
              <w:jc w:val="center"/>
              <w:rPr>
                <w:rFonts w:eastAsia="宋体"/>
                <w:bCs/>
                <w:sz w:val="21"/>
                <w:szCs w:val="21"/>
                <w:lang w:eastAsia="zh-CN"/>
              </w:rPr>
            </w:pPr>
          </w:p>
        </w:tc>
        <w:tc>
          <w:tcPr>
            <w:tcW w:w="395"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夏季</w:t>
            </w:r>
          </w:p>
        </w:tc>
        <w:tc>
          <w:tcPr>
            <w:tcW w:w="468" w:type="pct"/>
            <w:shd w:val="clear" w:color="auto" w:fill="E6E6E6"/>
            <w:vAlign w:val="center"/>
          </w:tcPr>
          <w:p>
            <w:pPr>
              <w:jc w:val="center"/>
              <w:rPr>
                <w:rFonts w:eastAsia="宋体"/>
                <w:bCs/>
                <w:sz w:val="18"/>
                <w:szCs w:val="18"/>
                <w:lang w:eastAsia="zh-CN"/>
              </w:rPr>
            </w:pPr>
            <w:r>
              <w:rPr>
                <w:rFonts w:hint="eastAsia" w:eastAsia="宋体"/>
                <w:bCs/>
                <w:sz w:val="18"/>
                <w:szCs w:val="18"/>
                <w:lang w:eastAsia="zh-CN"/>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9" w:hRule="exac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0.49</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普窗3.90、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普窗0.68、</w:t>
            </w:r>
          </w:p>
          <w:p>
            <w:pPr>
              <w:jc w:val="center"/>
              <w:rPr>
                <w:rFonts w:eastAsia="宋体"/>
                <w:bCs/>
                <w:sz w:val="21"/>
                <w:szCs w:val="21"/>
                <w:lang w:eastAsia="zh-CN"/>
              </w:rPr>
            </w:pPr>
            <w:r>
              <w:rPr>
                <w:rFonts w:hint="eastAsia" w:eastAsia="宋体"/>
                <w:bCs/>
                <w:sz w:val="21"/>
                <w:szCs w:val="21"/>
                <w:lang w:eastAsia="zh-CN"/>
              </w:rPr>
              <w:t>凸窗－</w:t>
            </w:r>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0.68、</w:t>
            </w:r>
          </w:p>
          <w:p>
            <w:pPr>
              <w:jc w:val="center"/>
              <w:rPr>
                <w:rFonts w:eastAsia="宋体"/>
                <w:bCs/>
                <w:sz w:val="21"/>
                <w:szCs w:val="21"/>
                <w:lang w:eastAsia="zh-CN"/>
              </w:rPr>
            </w:pPr>
            <w:r>
              <w:rPr>
                <w:rFonts w:hint="eastAsia" w:eastAsia="宋体"/>
                <w:bCs/>
                <w:sz w:val="21"/>
                <w:szCs w:val="21"/>
                <w:lang w:eastAsia="zh-CN"/>
              </w:rPr>
              <w:t>凸窗－</w:t>
            </w:r>
          </w:p>
        </w:tc>
        <w:tc>
          <w:tcPr>
            <w:tcW w:w="402" w:type="pct"/>
            <w:vAlign w:val="center"/>
          </w:tcPr>
          <w:p>
            <w:pPr>
              <w:jc w:val="center"/>
              <w:rPr>
                <w:rFonts w:eastAsia="宋体"/>
                <w:bCs/>
                <w:sz w:val="21"/>
                <w:szCs w:val="21"/>
                <w:lang w:eastAsia="zh-CN"/>
              </w:rPr>
            </w:pPr>
            <w:r>
              <w:rPr>
                <w:rFonts w:hint="eastAsia" w:eastAsia="宋体"/>
                <w:bCs/>
                <w:sz w:val="21"/>
                <w:szCs w:val="21"/>
                <w:lang w:eastAsia="zh-CN"/>
              </w:rPr>
              <w:t>0.45</w:t>
            </w:r>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普窗2.80、</w:t>
            </w:r>
          </w:p>
          <w:p>
            <w:pPr>
              <w:jc w:val="center"/>
              <w:rPr>
                <w:rFonts w:eastAsia="宋体"/>
                <w:bCs/>
                <w:sz w:val="21"/>
                <w:szCs w:val="21"/>
                <w:lang w:eastAsia="zh-CN"/>
              </w:rPr>
            </w:pPr>
            <w:r>
              <w:rPr>
                <w:rFonts w:hint="eastAsia" w:eastAsia="宋体"/>
                <w:bCs/>
                <w:sz w:val="21"/>
                <w:szCs w:val="21"/>
                <w:lang w:eastAsia="zh-CN"/>
              </w:rPr>
              <w:t>凸窗－</w:t>
            </w:r>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普窗0.40、</w:t>
            </w:r>
          </w:p>
          <w:p>
            <w:pPr>
              <w:jc w:val="center"/>
              <w:rPr>
                <w:rFonts w:hint="eastAsia" w:eastAsia="宋体"/>
                <w:bCs/>
                <w:sz w:val="21"/>
                <w:szCs w:val="21"/>
                <w:lang w:eastAsia="zh-CN"/>
              </w:rPr>
            </w:pPr>
            <w:r>
              <w:rPr>
                <w:rFonts w:hint="eastAsia" w:eastAsia="宋体"/>
                <w:bCs/>
                <w:sz w:val="21"/>
                <w:szCs w:val="21"/>
                <w:lang w:eastAsia="zh-CN"/>
              </w:rPr>
              <w:t>凸窗－</w:t>
            </w:r>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p>
          <w:p>
            <w:pPr>
              <w:jc w:val="center"/>
              <w:rPr>
                <w:rFonts w:hint="eastAsia" w:eastAsia="宋体"/>
                <w:bCs/>
                <w:sz w:val="21"/>
                <w:szCs w:val="21"/>
                <w:lang w:eastAsia="zh-CN"/>
              </w:rPr>
            </w:pPr>
            <w:r>
              <w:rPr>
                <w:rFonts w:hint="eastAsia" w:eastAsia="宋体"/>
                <w:bCs/>
                <w:sz w:val="21"/>
                <w:szCs w:val="21"/>
                <w:lang w:eastAsia="zh-CN"/>
              </w:rPr>
              <w:t>凸</w:t>
            </w:r>
            <w:r>
              <w:rPr>
                <w:rFonts w:eastAsia="宋体"/>
                <w:bCs/>
                <w:sz w:val="21"/>
                <w:szCs w:val="21"/>
                <w:lang w:eastAsia="zh-CN"/>
              </w:rPr>
              <w:t>窗</w:t>
            </w: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450" w:type="pct"/>
            <w:vAlign w:val="center"/>
          </w:tcPr>
          <w:p>
            <w:pPr>
              <w:jc w:val="center"/>
              <w:rPr>
                <w:rFonts w:eastAsia="宋体"/>
                <w:bCs/>
                <w:sz w:val="21"/>
                <w:szCs w:val="21"/>
                <w:lang w:eastAsia="zh-CN"/>
              </w:rPr>
            </w:pPr>
            <w:r>
              <w:rPr>
                <w:rFonts w:hint="eastAsia" w:eastAsia="宋体"/>
                <w:bCs/>
                <w:sz w:val="21"/>
                <w:szCs w:val="21"/>
                <w:lang w:eastAsia="zh-CN"/>
              </w:rPr>
              <w:t>0.25</w:t>
            </w:r>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普窗3.90、</w:t>
            </w:r>
          </w:p>
          <w:p>
            <w:pPr>
              <w:jc w:val="center"/>
              <w:rPr>
                <w:rFonts w:eastAsia="宋体"/>
                <w:bCs/>
                <w:sz w:val="21"/>
                <w:szCs w:val="21"/>
                <w:lang w:eastAsia="zh-CN"/>
              </w:rPr>
            </w:pPr>
            <w:r>
              <w:rPr>
                <w:rFonts w:hint="eastAsia" w:eastAsia="宋体"/>
                <w:bCs/>
                <w:sz w:val="21"/>
                <w:szCs w:val="21"/>
                <w:lang w:eastAsia="zh-CN"/>
              </w:rPr>
              <w:t>凸窗－</w:t>
            </w:r>
          </w:p>
        </w:tc>
        <w:tc>
          <w:tcPr>
            <w:tcW w:w="361"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0.55</w:t>
            </w:r>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5"/>
          </w:p>
        </w:tc>
        <w:tc>
          <w:tcPr>
            <w:tcW w:w="388" w:type="pct"/>
            <w:vAlign w:val="center"/>
          </w:tcPr>
          <w:p>
            <w:pPr>
              <w:jc w:val="center"/>
              <w:rPr>
                <w:rFonts w:eastAsia="宋体"/>
                <w:bCs/>
                <w:sz w:val="21"/>
                <w:szCs w:val="21"/>
                <w:lang w:eastAsia="zh-CN"/>
              </w:rPr>
            </w:pPr>
            <w:r>
              <w:rPr>
                <w:rFonts w:hint="eastAsia" w:eastAsia="宋体"/>
                <w:bCs/>
                <w:sz w:val="21"/>
                <w:szCs w:val="21"/>
                <w:lang w:eastAsia="zh-CN"/>
              </w:rPr>
              <w:t>普</w:t>
            </w:r>
            <w:r>
              <w:rPr>
                <w:rFonts w:eastAsia="宋体"/>
                <w:bCs/>
                <w:sz w:val="21"/>
                <w:szCs w:val="21"/>
                <w:lang w:eastAsia="zh-CN"/>
              </w:rPr>
              <w:t>窗</w:t>
            </w:r>
            <w:r>
              <w:rPr>
                <w:rFonts w:hint="eastAsia" w:eastAsia="宋体"/>
                <w:bCs/>
                <w:sz w:val="21"/>
                <w:szCs w:val="21"/>
                <w:lang w:eastAsia="zh-CN"/>
              </w:rPr>
              <w:t>0.55</w:t>
            </w:r>
            <w:bookmarkEnd w:id="37"/>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38"/>
          </w:p>
        </w:tc>
        <w:tc>
          <w:tcPr>
            <w:tcW w:w="402" w:type="pct"/>
            <w:vAlign w:val="center"/>
          </w:tcPr>
          <w:p>
            <w:pPr>
              <w:jc w:val="center"/>
              <w:rPr>
                <w:rFonts w:eastAsia="宋体"/>
                <w:bCs/>
                <w:sz w:val="21"/>
                <w:szCs w:val="21"/>
                <w:lang w:eastAsia="zh-CN"/>
              </w:rPr>
            </w:pPr>
            <w:r>
              <w:rPr>
                <w:rFonts w:hint="eastAsia" w:eastAsia="宋体"/>
                <w:bCs/>
                <w:sz w:val="21"/>
                <w:szCs w:val="21"/>
                <w:lang w:eastAsia="zh-CN"/>
              </w:rPr>
              <w:t>0.25</w:t>
            </w:r>
            <w:bookmarkEnd w:id="39"/>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普窗4.00</w:t>
            </w:r>
            <w:bookmarkEnd w:id="40"/>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End w:id="41"/>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End w:id="4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3" w:name="参照建筑凸窗SC－夏季－北向"/>
            <w:r>
              <w:rPr>
                <w:rFonts w:hint="eastAsia" w:eastAsia="宋体"/>
                <w:bCs/>
                <w:sz w:val="21"/>
                <w:szCs w:val="21"/>
                <w:lang w:eastAsia="zh-CN"/>
              </w:rPr>
              <w:t>－</w:t>
            </w:r>
            <w:bookmarkEnd w:id="43"/>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44" w:name="参照建筑外窗SC－冬季－北向"/>
            <w:r>
              <w:rPr>
                <w:rFonts w:hint="eastAsia" w:eastAsia="宋体"/>
                <w:bCs/>
                <w:sz w:val="21"/>
                <w:szCs w:val="21"/>
                <w:lang w:eastAsia="zh-CN"/>
              </w:rPr>
              <w:t>－－</w:t>
            </w:r>
            <w:bookmarkEnd w:id="44"/>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45" w:name="参照建筑凸窗SC－冬季－北向"/>
            <w:r>
              <w:rPr>
                <w:rFonts w:hint="eastAsia" w:eastAsia="宋体"/>
                <w:bCs/>
                <w:sz w:val="21"/>
                <w:szCs w:val="21"/>
                <w:lang w:eastAsia="zh-CN"/>
              </w:rPr>
              <w:t>－</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450" w:type="pct"/>
            <w:vAlign w:val="center"/>
          </w:tcPr>
          <w:p>
            <w:pPr>
              <w:jc w:val="center"/>
              <w:rPr>
                <w:rFonts w:eastAsia="宋体"/>
                <w:bCs/>
                <w:sz w:val="21"/>
                <w:szCs w:val="21"/>
                <w:lang w:eastAsia="zh-CN"/>
              </w:rPr>
            </w:pPr>
            <w:bookmarkStart w:id="46" w:name="窗墙比－东向"/>
            <w:r>
              <w:rPr>
                <w:rFonts w:hint="eastAsia" w:eastAsia="宋体"/>
                <w:bCs/>
                <w:sz w:val="21"/>
                <w:szCs w:val="21"/>
                <w:lang w:eastAsia="zh-CN"/>
              </w:rPr>
              <w:t>0.00</w:t>
            </w:r>
            <w:bookmarkEnd w:id="46"/>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7" w:name="外窗K－东向"/>
            <w:r>
              <w:rPr>
                <w:rFonts w:hint="eastAsia" w:eastAsia="宋体"/>
                <w:bCs/>
                <w:sz w:val="21"/>
                <w:szCs w:val="21"/>
                <w:lang w:eastAsia="zh-CN"/>
              </w:rPr>
              <w:t>－</w:t>
            </w:r>
            <w:bookmarkEnd w:id="47"/>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48" w:name="凸窗K－东向"/>
            <w:r>
              <w:rPr>
                <w:rFonts w:hint="eastAsia" w:eastAsia="宋体"/>
                <w:bCs/>
                <w:sz w:val="21"/>
                <w:szCs w:val="21"/>
                <w:lang w:eastAsia="zh-CN"/>
              </w:rPr>
              <w:t>－</w:t>
            </w:r>
            <w:bookmarkEnd w:id="48"/>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49" w:name="外窗SC－夏季－东向"/>
            <w:r>
              <w:rPr>
                <w:rFonts w:hint="eastAsia" w:eastAsia="宋体"/>
                <w:bCs/>
                <w:sz w:val="21"/>
                <w:szCs w:val="21"/>
                <w:lang w:eastAsia="zh-CN"/>
              </w:rPr>
              <w:t>0.00</w:t>
            </w:r>
            <w:bookmarkEnd w:id="49"/>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0" w:name="凸窗SC－夏季－东向"/>
            <w:r>
              <w:rPr>
                <w:rFonts w:hint="eastAsia" w:eastAsia="宋体"/>
                <w:bCs/>
                <w:sz w:val="21"/>
                <w:szCs w:val="21"/>
                <w:lang w:eastAsia="zh-CN"/>
              </w:rPr>
              <w:t>－</w:t>
            </w:r>
            <w:bookmarkEnd w:id="50"/>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1" w:name="外窗SC－冬季－东向"/>
            <w:r>
              <w:rPr>
                <w:rFonts w:hint="eastAsia" w:eastAsia="宋体"/>
                <w:bCs/>
                <w:sz w:val="21"/>
                <w:szCs w:val="21"/>
                <w:lang w:eastAsia="zh-CN"/>
              </w:rPr>
              <w:t>0.00</w:t>
            </w:r>
            <w:bookmarkEnd w:id="51"/>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2" w:name="凸窗SC－冬季－东向"/>
            <w:r>
              <w:rPr>
                <w:rFonts w:hint="eastAsia" w:eastAsia="宋体"/>
                <w:bCs/>
                <w:sz w:val="21"/>
                <w:szCs w:val="21"/>
                <w:lang w:eastAsia="zh-CN"/>
              </w:rPr>
              <w:t>－</w:t>
            </w:r>
            <w:bookmarkEnd w:id="52"/>
          </w:p>
        </w:tc>
        <w:tc>
          <w:tcPr>
            <w:tcW w:w="402" w:type="pct"/>
            <w:vAlign w:val="center"/>
          </w:tcPr>
          <w:p>
            <w:pPr>
              <w:jc w:val="center"/>
              <w:rPr>
                <w:rFonts w:eastAsia="宋体"/>
                <w:bCs/>
                <w:sz w:val="21"/>
                <w:szCs w:val="21"/>
                <w:lang w:eastAsia="zh-CN"/>
              </w:rPr>
            </w:pPr>
            <w:bookmarkStart w:id="53" w:name="参照建筑窗墙比－东向"/>
            <w:r>
              <w:rPr>
                <w:rFonts w:hint="eastAsia" w:eastAsia="宋体"/>
                <w:bCs/>
                <w:sz w:val="21"/>
                <w:szCs w:val="21"/>
                <w:lang w:eastAsia="zh-CN"/>
              </w:rPr>
              <w:t>0.00</w:t>
            </w:r>
            <w:bookmarkEnd w:id="53"/>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4" w:name="参照建筑外窗K－东向"/>
            <w:r>
              <w:rPr>
                <w:rFonts w:hint="eastAsia" w:eastAsia="宋体"/>
                <w:bCs/>
                <w:sz w:val="21"/>
                <w:szCs w:val="21"/>
                <w:lang w:eastAsia="zh-CN"/>
              </w:rPr>
              <w:t>－</w:t>
            </w:r>
            <w:bookmarkEnd w:id="54"/>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55" w:name="参照建筑凸窗K－东向"/>
            <w:r>
              <w:rPr>
                <w:rFonts w:hint="eastAsia" w:eastAsia="宋体"/>
                <w:bCs/>
                <w:sz w:val="21"/>
                <w:szCs w:val="21"/>
                <w:lang w:eastAsia="zh-CN"/>
              </w:rPr>
              <w:t>－</w:t>
            </w:r>
            <w:bookmarkEnd w:id="55"/>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56" w:name="参照建筑外窗SC－夏季－东向"/>
            <w:r>
              <w:rPr>
                <w:rFonts w:hint="eastAsia" w:eastAsia="宋体"/>
                <w:bCs/>
                <w:sz w:val="21"/>
                <w:szCs w:val="21"/>
                <w:lang w:eastAsia="zh-CN"/>
              </w:rPr>
              <w:t>－</w:t>
            </w:r>
            <w:bookmarkEnd w:id="56"/>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7" w:name="参照建筑凸窗SC－夏季－东向"/>
            <w:r>
              <w:rPr>
                <w:rFonts w:hint="eastAsia" w:eastAsia="宋体"/>
                <w:bCs/>
                <w:sz w:val="21"/>
                <w:szCs w:val="21"/>
                <w:lang w:eastAsia="zh-CN"/>
              </w:rPr>
              <w:t>－</w:t>
            </w:r>
            <w:bookmarkEnd w:id="57"/>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58" w:name="参照建筑外窗SC－冬季－东向"/>
            <w:r>
              <w:rPr>
                <w:rFonts w:hint="eastAsia" w:eastAsia="宋体"/>
                <w:bCs/>
                <w:sz w:val="21"/>
                <w:szCs w:val="21"/>
                <w:lang w:eastAsia="zh-CN"/>
              </w:rPr>
              <w:t>－</w:t>
            </w:r>
            <w:bookmarkEnd w:id="58"/>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59" w:name="参照建筑凸窗SC－冬季－东向"/>
            <w:r>
              <w:rPr>
                <w:rFonts w:hint="eastAsia" w:eastAsia="宋体"/>
                <w:bCs/>
                <w:sz w:val="21"/>
                <w:szCs w:val="21"/>
                <w:lang w:eastAsia="zh-CN"/>
              </w:rPr>
              <w:t>－</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923" w:type="pct"/>
            <w:vMerge w:val="continue"/>
            <w:vAlign w:val="center"/>
          </w:tcPr>
          <w:p>
            <w:pPr>
              <w:jc w:val="center"/>
              <w:rPr>
                <w:rFonts w:eastAsia="宋体"/>
                <w:bCs/>
                <w:sz w:val="21"/>
                <w:szCs w:val="21"/>
                <w:lang w:eastAsia="zh-CN"/>
              </w:rPr>
            </w:pPr>
          </w:p>
        </w:tc>
        <w:tc>
          <w:tcPr>
            <w:tcW w:w="606"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450" w:type="pct"/>
            <w:vAlign w:val="center"/>
          </w:tcPr>
          <w:p>
            <w:pPr>
              <w:jc w:val="center"/>
              <w:rPr>
                <w:rFonts w:eastAsia="宋体"/>
                <w:bCs/>
                <w:sz w:val="21"/>
                <w:szCs w:val="21"/>
                <w:lang w:eastAsia="zh-CN"/>
              </w:rPr>
            </w:pPr>
            <w:bookmarkStart w:id="60" w:name="窗墙比－西向"/>
            <w:r>
              <w:rPr>
                <w:rFonts w:hint="eastAsia" w:eastAsia="宋体"/>
                <w:bCs/>
                <w:sz w:val="21"/>
                <w:szCs w:val="21"/>
                <w:lang w:eastAsia="zh-CN"/>
              </w:rPr>
              <w:t>0.44</w:t>
            </w:r>
            <w:bookmarkEnd w:id="60"/>
          </w:p>
        </w:tc>
        <w:tc>
          <w:tcPr>
            <w:tcW w:w="53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1" w:name="外窗K－西向"/>
            <w:r>
              <w:rPr>
                <w:rFonts w:hint="eastAsia" w:eastAsia="宋体"/>
                <w:bCs/>
                <w:sz w:val="21"/>
                <w:szCs w:val="21"/>
                <w:lang w:eastAsia="zh-CN"/>
              </w:rPr>
              <w:t>3.90</w:t>
            </w:r>
            <w:bookmarkEnd w:id="61"/>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2" w:name="凸窗K－西向"/>
            <w:r>
              <w:rPr>
                <w:rFonts w:hint="eastAsia" w:eastAsia="宋体"/>
                <w:bCs/>
                <w:sz w:val="21"/>
                <w:szCs w:val="21"/>
                <w:lang w:eastAsia="zh-CN"/>
              </w:rPr>
              <w:t>－</w:t>
            </w:r>
            <w:bookmarkEnd w:id="62"/>
          </w:p>
        </w:tc>
        <w:tc>
          <w:tcPr>
            <w:tcW w:w="361" w:type="pct"/>
            <w:vAlign w:val="center"/>
          </w:tcPr>
          <w:p>
            <w:pPr>
              <w:jc w:val="center"/>
              <w:rPr>
                <w:rFonts w:eastAsia="宋体"/>
                <w:bCs/>
                <w:sz w:val="21"/>
                <w:szCs w:val="21"/>
                <w:lang w:eastAsia="zh-CN"/>
              </w:rPr>
            </w:pPr>
            <w:r>
              <w:rPr>
                <w:rFonts w:hint="eastAsia" w:eastAsia="宋体"/>
                <w:bCs/>
                <w:sz w:val="21"/>
                <w:szCs w:val="21"/>
                <w:lang w:eastAsia="zh-CN"/>
              </w:rPr>
              <w:t>普窗</w:t>
            </w:r>
            <w:bookmarkStart w:id="63" w:name="外窗SC－夏季－西向"/>
            <w:r>
              <w:rPr>
                <w:rFonts w:hint="eastAsia" w:eastAsia="宋体"/>
                <w:bCs/>
                <w:sz w:val="21"/>
                <w:szCs w:val="21"/>
                <w:lang w:eastAsia="zh-CN"/>
              </w:rPr>
              <w:t>0.75</w:t>
            </w:r>
            <w:bookmarkEnd w:id="63"/>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4" w:name="凸窗SC－夏季－西向"/>
            <w:r>
              <w:rPr>
                <w:rFonts w:hint="eastAsia" w:eastAsia="宋体"/>
                <w:bCs/>
                <w:sz w:val="21"/>
                <w:szCs w:val="21"/>
                <w:lang w:eastAsia="zh-CN"/>
              </w:rPr>
              <w:t>－</w:t>
            </w:r>
            <w:bookmarkEnd w:id="64"/>
          </w:p>
        </w:tc>
        <w:tc>
          <w:tcPr>
            <w:tcW w:w="388" w:type="pct"/>
            <w:vAlign w:val="center"/>
          </w:tcPr>
          <w:p>
            <w:pPr>
              <w:jc w:val="center"/>
              <w:rPr>
                <w:rFonts w:eastAsia="宋体"/>
                <w:bCs/>
                <w:sz w:val="21"/>
                <w:szCs w:val="21"/>
                <w:lang w:eastAsia="zh-CN"/>
              </w:rPr>
            </w:pPr>
            <w:r>
              <w:rPr>
                <w:rFonts w:hint="eastAsia" w:eastAsia="宋体"/>
                <w:bCs/>
                <w:sz w:val="21"/>
                <w:szCs w:val="21"/>
                <w:lang w:eastAsia="zh-CN"/>
              </w:rPr>
              <w:t>普窗</w:t>
            </w:r>
            <w:bookmarkStart w:id="65" w:name="外窗SC－冬季－西向"/>
            <w:r>
              <w:rPr>
                <w:rFonts w:hint="eastAsia" w:eastAsia="宋体"/>
                <w:bCs/>
                <w:sz w:val="21"/>
                <w:szCs w:val="21"/>
                <w:lang w:eastAsia="zh-CN"/>
              </w:rPr>
              <w:t>0.75</w:t>
            </w:r>
            <w:bookmarkEnd w:id="65"/>
            <w:r>
              <w:rPr>
                <w:rFonts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6" w:name="凸窗SC－冬季－西向"/>
            <w:r>
              <w:rPr>
                <w:rFonts w:hint="eastAsia" w:eastAsia="宋体"/>
                <w:bCs/>
                <w:sz w:val="21"/>
                <w:szCs w:val="21"/>
                <w:lang w:eastAsia="zh-CN"/>
              </w:rPr>
              <w:t>－</w:t>
            </w:r>
            <w:bookmarkEnd w:id="66"/>
          </w:p>
        </w:tc>
        <w:tc>
          <w:tcPr>
            <w:tcW w:w="402" w:type="pct"/>
            <w:vAlign w:val="center"/>
          </w:tcPr>
          <w:p>
            <w:pPr>
              <w:jc w:val="center"/>
              <w:rPr>
                <w:rFonts w:eastAsia="宋体"/>
                <w:bCs/>
                <w:sz w:val="21"/>
                <w:szCs w:val="21"/>
                <w:lang w:eastAsia="zh-CN"/>
              </w:rPr>
            </w:pPr>
            <w:bookmarkStart w:id="67" w:name="参照建筑窗墙比－西向"/>
            <w:r>
              <w:rPr>
                <w:rFonts w:hint="eastAsia" w:eastAsia="宋体"/>
                <w:bCs/>
                <w:sz w:val="21"/>
                <w:szCs w:val="21"/>
                <w:lang w:eastAsia="zh-CN"/>
              </w:rPr>
              <w:t>0.35</w:t>
            </w:r>
            <w:bookmarkEnd w:id="67"/>
          </w:p>
        </w:tc>
        <w:tc>
          <w:tcPr>
            <w:tcW w:w="475" w:type="pct"/>
            <w:vAlign w:val="center"/>
          </w:tcPr>
          <w:p>
            <w:pPr>
              <w:jc w:val="center"/>
              <w:rPr>
                <w:rFonts w:eastAsia="宋体"/>
                <w:bCs/>
                <w:sz w:val="21"/>
                <w:szCs w:val="21"/>
                <w:lang w:eastAsia="zh-CN"/>
              </w:rPr>
            </w:pPr>
            <w:r>
              <w:rPr>
                <w:rFonts w:hint="eastAsia" w:eastAsia="宋体"/>
                <w:bCs/>
                <w:sz w:val="21"/>
                <w:szCs w:val="21"/>
                <w:lang w:eastAsia="zh-CN"/>
              </w:rPr>
              <w:t>普窗</w:t>
            </w:r>
            <w:bookmarkStart w:id="68" w:name="参照建筑外窗K－西向"/>
            <w:r>
              <w:rPr>
                <w:rFonts w:hint="eastAsia" w:eastAsia="宋体"/>
                <w:bCs/>
                <w:sz w:val="21"/>
                <w:szCs w:val="21"/>
                <w:lang w:eastAsia="zh-CN"/>
              </w:rPr>
              <w:t>3.20</w:t>
            </w:r>
            <w:bookmarkEnd w:id="68"/>
            <w:r>
              <w:rPr>
                <w:rFonts w:hint="eastAsia" w:eastAsia="宋体"/>
                <w:bCs/>
                <w:sz w:val="21"/>
                <w:szCs w:val="21"/>
                <w:lang w:eastAsia="zh-CN"/>
              </w:rPr>
              <w:t>、</w:t>
            </w:r>
          </w:p>
          <w:p>
            <w:pPr>
              <w:jc w:val="center"/>
              <w:rPr>
                <w:rFonts w:eastAsia="宋体"/>
                <w:bCs/>
                <w:sz w:val="21"/>
                <w:szCs w:val="21"/>
                <w:lang w:eastAsia="zh-CN"/>
              </w:rPr>
            </w:pPr>
            <w:r>
              <w:rPr>
                <w:rFonts w:hint="eastAsia" w:eastAsia="宋体"/>
                <w:bCs/>
                <w:sz w:val="21"/>
                <w:szCs w:val="21"/>
                <w:lang w:eastAsia="zh-CN"/>
              </w:rPr>
              <w:t>凸窗</w:t>
            </w:r>
            <w:bookmarkStart w:id="69" w:name="参照建筑凸窗K－西向"/>
            <w:r>
              <w:rPr>
                <w:rFonts w:hint="eastAsia" w:eastAsia="宋体"/>
                <w:bCs/>
                <w:sz w:val="21"/>
                <w:szCs w:val="21"/>
                <w:lang w:eastAsia="zh-CN"/>
              </w:rPr>
              <w:t>－</w:t>
            </w:r>
            <w:bookmarkEnd w:id="69"/>
          </w:p>
        </w:tc>
        <w:tc>
          <w:tcPr>
            <w:tcW w:w="395" w:type="pct"/>
            <w:vAlign w:val="center"/>
          </w:tcPr>
          <w:p>
            <w:pPr>
              <w:jc w:val="center"/>
              <w:rPr>
                <w:rFonts w:eastAsia="宋体"/>
                <w:bCs/>
                <w:sz w:val="21"/>
                <w:szCs w:val="21"/>
                <w:lang w:eastAsia="zh-CN"/>
              </w:rPr>
            </w:pPr>
            <w:r>
              <w:rPr>
                <w:rFonts w:hint="eastAsia" w:eastAsia="宋体"/>
                <w:bCs/>
                <w:sz w:val="21"/>
                <w:szCs w:val="21"/>
                <w:lang w:eastAsia="zh-CN"/>
              </w:rPr>
              <w:t>普窗</w:t>
            </w:r>
            <w:bookmarkStart w:id="70" w:name="参照建筑外窗SC－夏季－西向"/>
            <w:r>
              <w:rPr>
                <w:rFonts w:hint="eastAsia" w:eastAsia="宋体"/>
                <w:bCs/>
                <w:sz w:val="21"/>
                <w:szCs w:val="21"/>
                <w:lang w:eastAsia="zh-CN"/>
              </w:rPr>
              <w:t>0.40</w:t>
            </w:r>
            <w:bookmarkEnd w:id="70"/>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1" w:name="参照建筑凸窗SC－夏季－西向"/>
            <w:r>
              <w:rPr>
                <w:rFonts w:hint="eastAsia" w:eastAsia="宋体"/>
                <w:bCs/>
                <w:sz w:val="21"/>
                <w:szCs w:val="21"/>
                <w:lang w:eastAsia="zh-CN"/>
              </w:rPr>
              <w:t>－</w:t>
            </w:r>
            <w:bookmarkEnd w:id="71"/>
          </w:p>
        </w:tc>
        <w:tc>
          <w:tcPr>
            <w:tcW w:w="468" w:type="pct"/>
            <w:vAlign w:val="center"/>
          </w:tcPr>
          <w:p>
            <w:pPr>
              <w:jc w:val="center"/>
              <w:rPr>
                <w:rFonts w:eastAsia="宋体"/>
                <w:bCs/>
                <w:sz w:val="21"/>
                <w:szCs w:val="21"/>
                <w:lang w:eastAsia="zh-CN"/>
              </w:rPr>
            </w:pPr>
            <w:r>
              <w:rPr>
                <w:rFonts w:hint="eastAsia" w:eastAsia="宋体"/>
                <w:bCs/>
                <w:sz w:val="21"/>
                <w:szCs w:val="21"/>
                <w:lang w:eastAsia="zh-CN"/>
              </w:rPr>
              <w:t>普窗</w:t>
            </w:r>
            <w:bookmarkStart w:id="72" w:name="参照建筑外窗SC－冬季－西向"/>
            <w:r>
              <w:rPr>
                <w:rFonts w:hint="eastAsia" w:eastAsia="宋体"/>
                <w:bCs/>
                <w:sz w:val="21"/>
                <w:szCs w:val="21"/>
                <w:lang w:eastAsia="zh-CN"/>
              </w:rPr>
              <w:t>－－</w:t>
            </w:r>
            <w:bookmarkEnd w:id="72"/>
            <w:r>
              <w:rPr>
                <w:rFonts w:hint="eastAsia" w:eastAsia="宋体"/>
                <w:bCs/>
                <w:sz w:val="21"/>
                <w:szCs w:val="21"/>
                <w:lang w:eastAsia="zh-CN"/>
              </w:rPr>
              <w:t>、</w:t>
            </w:r>
          </w:p>
          <w:p>
            <w:pPr>
              <w:jc w:val="center"/>
              <w:rPr>
                <w:rFonts w:hint="eastAsia" w:eastAsia="宋体"/>
                <w:bCs/>
                <w:sz w:val="21"/>
                <w:szCs w:val="21"/>
                <w:lang w:eastAsia="zh-CN"/>
              </w:rPr>
            </w:pPr>
            <w:r>
              <w:rPr>
                <w:rFonts w:hint="eastAsia" w:eastAsia="宋体"/>
                <w:bCs/>
                <w:sz w:val="21"/>
                <w:szCs w:val="21"/>
                <w:lang w:eastAsia="zh-CN"/>
              </w:rPr>
              <w:t>凸窗</w:t>
            </w:r>
            <w:bookmarkStart w:id="73" w:name="参照建筑凸窗SC－冬季－西向"/>
            <w:r>
              <w:rPr>
                <w:rFonts w:hint="eastAsia" w:eastAsia="宋体"/>
                <w:bCs/>
                <w:sz w:val="21"/>
                <w:szCs w:val="21"/>
                <w:lang w:eastAsia="zh-CN"/>
              </w:rPr>
              <w:t>－</w:t>
            </w:r>
            <w:bookmarkEnd w:id="73"/>
          </w:p>
        </w:tc>
      </w:tr>
    </w:tbl>
    <w:p>
      <w:pPr>
        <w:widowControl w:val="0"/>
        <w:jc w:val="both"/>
      </w:pPr>
      <w:r>
        <w:t>备注：1. — 代表本工程无对应项; 2. ——代表参照建筑不要求，取值同设计建筑。</w:t>
      </w:r>
    </w:p>
    <w:p>
      <w:pPr>
        <w:widowControl w:val="0"/>
        <w:jc w:val="both"/>
      </w:pPr>
    </w:p>
    <w:p>
      <w:pPr>
        <w:pStyle w:val="2"/>
        <w:widowControl w:val="0"/>
        <w:jc w:val="both"/>
      </w:pPr>
      <w:r>
        <w:t>设计建筑</w:t>
      </w:r>
    </w:p>
    <w:p>
      <w:pPr>
        <w:pStyle w:val="4"/>
        <w:widowControl w:val="0"/>
        <w:jc w:val="both"/>
      </w:pPr>
      <w:r>
        <w:t>房间类型</w:t>
      </w:r>
    </w:p>
    <w:p>
      <w:pPr>
        <w:pStyle w:val="5"/>
        <w:widowControl w:val="0"/>
        <w:jc w:val="both"/>
      </w:pPr>
      <w:r>
        <w:t>房间表</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widowControl w:val="0"/>
        <w:jc w:val="both"/>
      </w:pPr>
      <w:r>
        <w:t>作息时间表</w:t>
      </w:r>
    </w:p>
    <w:p>
      <w:pPr>
        <w:widowControl w:val="0"/>
        <w:jc w:val="both"/>
      </w:pPr>
      <w:r>
        <w:t>详见附录</w:t>
      </w:r>
    </w:p>
    <w:p>
      <w:pPr>
        <w:pStyle w:val="4"/>
        <w:widowControl w:val="0"/>
        <w:jc w:val="both"/>
      </w:pPr>
      <w:r>
        <w:t>系统类型</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1998.51</w:t>
            </w:r>
          </w:p>
        </w:tc>
        <w:tc>
          <w:tcPr>
            <w:vAlign w:val="center"/>
          </w:tcPr>
          <w:p>
            <w:r>
              <w:t>所有房间</w:t>
            </w:r>
          </w:p>
        </w:tc>
      </w:tr>
    </w:tbl>
    <w:p>
      <w:pPr>
        <w:pStyle w:val="4"/>
        <w:widowControl w:val="0"/>
        <w:jc w:val="both"/>
      </w:pPr>
      <w:r>
        <w:t>制冷系统</w:t>
      </w:r>
    </w:p>
    <w:p>
      <w:pPr>
        <w:pStyle w:val="4"/>
        <w:widowControl w:val="0"/>
        <w:jc w:val="both"/>
      </w:pPr>
      <w:r>
        <w:t>供暖系统</w:t>
      </w:r>
    </w:p>
    <w:p>
      <w:pPr>
        <w:pStyle w:val="4"/>
        <w:widowControl w:val="0"/>
        <w:jc w:val="both"/>
      </w:pPr>
      <w:r>
        <w:t>逐月电耗</w:t>
      </w:r>
    </w:p>
    <w:p>
      <w:pPr>
        <w:widowControl w:val="0"/>
        <w:jc w:val="both"/>
      </w:pPr>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r>
        <w:t>参照建筑</w:t>
      </w:r>
    </w:p>
    <w:p>
      <w:pPr>
        <w:pStyle w:val="4"/>
        <w:widowControl w:val="0"/>
        <w:jc w:val="both"/>
      </w:pPr>
      <w:r>
        <w:t>房间类型</w:t>
      </w:r>
    </w:p>
    <w:p>
      <w:pPr>
        <w:pStyle w:val="5"/>
        <w:widowControl w:val="0"/>
        <w:jc w:val="both"/>
      </w:pPr>
      <w:r>
        <w:t>房间表</w:t>
      </w:r>
    </w:p>
    <w:tbl>
      <w:tblPr>
        <w:tblStyle w:val="19"/>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厨房</w:t>
            </w:r>
          </w:p>
        </w:tc>
        <w:tc>
          <w:tcPr>
            <w:vAlign w:val="center"/>
          </w:tcPr>
          <w:p>
            <w:pPr>
              <w:jc w:val="center"/>
            </w:pPr>
            <w:r>
              <w:t>－</w:t>
            </w:r>
          </w:p>
        </w:tc>
        <w:tc>
          <w:tcPr>
            <w:vAlign w:val="center"/>
          </w:tcPr>
          <w:p>
            <w:pPr>
              <w:jc w:val="center"/>
            </w:pPr>
            <w:r>
              <w:t>－</w:t>
            </w:r>
          </w:p>
        </w:tc>
        <w:tc>
          <w:tcPr>
            <w:vAlign w:val="center"/>
          </w:tcPr>
          <w:p>
            <w:pPr>
              <w:jc w:val="center"/>
            </w:pPr>
            <w:r>
              <w:t>0.5(次/h)</w:t>
            </w:r>
          </w:p>
        </w:tc>
        <w:tc>
          <w:tcPr>
            <w:vAlign w:val="center"/>
          </w:tcPr>
          <w:p>
            <w:pPr>
              <w:jc w:val="center"/>
            </w:pPr>
            <w:r>
              <w:t>0(次/h)</w:t>
            </w:r>
          </w:p>
        </w:tc>
        <w:tc>
          <w:tcPr>
            <w:vAlign w:val="center"/>
          </w:tcPr>
          <w:p>
            <w:pPr>
              <w:jc w:val="center"/>
            </w:pPr>
            <w:r>
              <w:t>0(㎡/人)</w:t>
            </w:r>
          </w:p>
        </w:tc>
        <w:tc>
          <w:tcPr>
            <w:vAlign w:val="center"/>
          </w:tcPr>
          <w:p>
            <w:pPr>
              <w:jc w:val="center"/>
            </w:pPr>
            <w:r>
              <w:t>6(W/㎡)</w:t>
            </w:r>
          </w:p>
        </w:tc>
        <w:tc>
          <w:tcPr>
            <w:vAlign w:val="center"/>
          </w:tcPr>
          <w:p>
            <w:pPr>
              <w:jc w:val="center"/>
            </w:pPr>
            <w:r>
              <w:t>24(W/㎡)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0(m</w:t>
            </w:r>
            <w:r>
              <w:rPr>
                <w:vertAlign w:val="superscript"/>
              </w:rPr>
              <w:t>3</w:t>
            </w:r>
            <w:r>
              <w:t>/h.人)</w:t>
            </w:r>
          </w:p>
        </w:tc>
        <w:tc>
          <w:tcPr>
            <w:vAlign w:val="center"/>
          </w:tcPr>
          <w:p>
            <w:pPr>
              <w:jc w:val="center"/>
            </w:pPr>
            <w:r>
              <w:t>0(次/h)</w:t>
            </w:r>
          </w:p>
        </w:tc>
        <w:tc>
          <w:tcPr>
            <w:vAlign w:val="center"/>
          </w:tcPr>
          <w:p>
            <w:pPr>
              <w:jc w:val="center"/>
            </w:pPr>
            <w:r>
              <w:t>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0(次/h)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5"/>
        <w:widowControl w:val="0"/>
        <w:jc w:val="both"/>
      </w:pPr>
      <w:r>
        <w:t>作息时间表</w:t>
      </w:r>
    </w:p>
    <w:p>
      <w:pPr>
        <w:widowControl w:val="0"/>
        <w:jc w:val="both"/>
      </w:pPr>
      <w:r>
        <w:t>同设计建筑</w:t>
      </w:r>
    </w:p>
    <w:p>
      <w:pPr>
        <w:pStyle w:val="4"/>
        <w:widowControl w:val="0"/>
        <w:jc w:val="both"/>
      </w:pPr>
      <w:r>
        <w:t>系统类型</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包含房间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1.90</w:t>
            </w:r>
          </w:p>
        </w:tc>
        <w:tc>
          <w:tcPr>
            <w:vAlign w:val="center"/>
          </w:tcPr>
          <w:p>
            <w:r>
              <w:t>所有房间</w:t>
            </w:r>
          </w:p>
        </w:tc>
      </w:tr>
    </w:tbl>
    <w:p>
      <w:pPr>
        <w:pStyle w:val="4"/>
        <w:widowControl w:val="0"/>
        <w:jc w:val="both"/>
      </w:pPr>
      <w:r>
        <w:t>制冷系统</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冷负荷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2.30</w:t>
            </w:r>
          </w:p>
        </w:tc>
        <w:tc>
          <w:tcPr>
            <w:vAlign w:val="center"/>
          </w:tcPr>
          <w:p>
            <w:r>
              <w:t>107132</w:t>
            </w:r>
          </w:p>
        </w:tc>
        <w:tc>
          <w:tcPr>
            <w:vAlign w:val="center"/>
          </w:tcPr>
          <w:p>
            <w:r>
              <w:t>46579</w:t>
            </w:r>
          </w:p>
        </w:tc>
      </w:tr>
    </w:tbl>
    <w:p>
      <w:pPr>
        <w:pStyle w:val="4"/>
        <w:widowControl w:val="0"/>
        <w:jc w:val="both"/>
      </w:pPr>
      <w:r>
        <w:t>供暖系统</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01"/>
        <w:gridCol w:w="2150"/>
        <w:gridCol w:w="2150"/>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热负荷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1.90</w:t>
            </w:r>
          </w:p>
        </w:tc>
        <w:tc>
          <w:tcPr>
            <w:vAlign w:val="center"/>
          </w:tcPr>
          <w:p>
            <w:r>
              <w:t>94266</w:t>
            </w:r>
          </w:p>
        </w:tc>
        <w:tc>
          <w:tcPr>
            <w:vAlign w:val="center"/>
          </w:tcPr>
          <w:p>
            <w:r>
              <w:t>49613</w:t>
            </w:r>
          </w:p>
        </w:tc>
      </w:tr>
    </w:tbl>
    <w:p>
      <w:pPr>
        <w:pStyle w:val="4"/>
        <w:widowControl w:val="0"/>
        <w:jc w:val="both"/>
      </w:pPr>
      <w:r>
        <w:t>逐月电耗</w:t>
      </w:r>
    </w:p>
    <w:p>
      <w:pPr>
        <w:widowControl w:val="0"/>
        <w:jc w:val="both"/>
      </w:pPr>
      <w:r>
        <w:t>注:供冷供暖为冷热源及输配水泵电耗，热水为扣减太阳能后电耗，所有数据单位kWh/㎡。</w:t>
      </w:r>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3.80</w:t>
            </w:r>
          </w:p>
        </w:tc>
        <w:tc>
          <w:tcPr>
            <w:vAlign w:val="center"/>
          </w:tcPr>
          <w:p>
            <w:pPr>
              <w:jc w:val="right"/>
            </w:pPr>
            <w:r>
              <w:t>－</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2.73</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0.01</w:t>
            </w:r>
          </w:p>
        </w:tc>
        <w:tc>
          <w:tcPr>
            <w:vAlign w:val="center"/>
          </w:tcPr>
          <w:p>
            <w:pPr>
              <w:jc w:val="right"/>
            </w:pPr>
            <w:r>
              <w:t>1.39</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0.03</w:t>
            </w:r>
          </w:p>
        </w:tc>
        <w:tc>
          <w:tcPr>
            <w:vAlign w:val="center"/>
          </w:tcPr>
          <w:p>
            <w:pPr>
              <w:jc w:val="right"/>
            </w:pPr>
            <w:r>
              <w:t>0.20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0.77</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2.00</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7</w:t>
            </w:r>
          </w:p>
        </w:tc>
        <w:tc>
          <w:tcPr>
            <w:vAlign w:val="center"/>
          </w:tcPr>
          <w:p>
            <w:pPr>
              <w:jc w:val="right"/>
            </w:pPr>
            <w:r>
              <w:t>3.57</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3.32</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pPr>
              <w:jc w:val="center"/>
            </w:pPr>
            <w:r>
              <w:t>9</w:t>
            </w:r>
          </w:p>
        </w:tc>
        <w:tc>
          <w:tcPr>
            <w:vAlign w:val="center"/>
          </w:tcPr>
          <w:p>
            <w:pPr>
              <w:jc w:val="right"/>
            </w:pPr>
            <w:r>
              <w:t>1.18</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0.04</w:t>
            </w:r>
          </w:p>
        </w:tc>
        <w:tc>
          <w:tcPr>
            <w:vAlign w:val="center"/>
          </w:tcPr>
          <w:p>
            <w:pPr>
              <w:jc w:val="right"/>
            </w:pPr>
            <w:r>
              <w:t>0.00</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0.39</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3.14</w:t>
            </w:r>
          </w:p>
        </w:tc>
        <w:tc>
          <w:tcPr>
            <w:vAlign w:val="center"/>
          </w:tcPr>
          <w:p>
            <w:pPr>
              <w:jc w:val="right"/>
            </w:pPr>
            <w:r>
              <w:t>－</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10.93</w:t>
            </w:r>
          </w:p>
        </w:tc>
        <w:tc>
          <w:tcPr>
            <w:vAlign w:val="center"/>
          </w:tcPr>
          <w:p>
            <w:pPr>
              <w:jc w:val="right"/>
            </w:pPr>
            <w:r>
              <w:t>11.64</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r>
        <w:t>计算结果</w:t>
      </w:r>
    </w:p>
    <w:tbl>
      <w:tblPr>
        <w:tblStyle w:val="19"/>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877" w:type="pct"/>
            <w:vAlign w:val="center"/>
          </w:tcPr>
          <w:p>
            <w:pPr>
              <w:ind w:firstLine="0" w:firstLineChars="0"/>
              <w:jc w:val="center"/>
              <w:rPr>
                <w:lang w:val="en-US"/>
              </w:rPr>
            </w:pPr>
            <w:r>
              <w:rPr>
                <w:rFonts w:hint="eastAsia"/>
                <w:lang w:val="en-US"/>
              </w:rPr>
              <w:t>26.79</w:t>
            </w:r>
            <w:bookmarkEnd w:id="3"/>
          </w:p>
        </w:tc>
        <w:tc>
          <w:tcPr>
            <w:tcW w:w="877" w:type="pct"/>
            <w:vAlign w:val="center"/>
          </w:tcPr>
          <w:p>
            <w:pPr>
              <w:ind w:firstLine="0" w:firstLineChars="0"/>
              <w:jc w:val="center"/>
              <w:rPr>
                <w:lang w:val="en-US"/>
              </w:rPr>
            </w:pPr>
            <w:r>
              <w:rPr>
                <w:rFonts w:hint="eastAsia"/>
                <w:lang w:val="en-US"/>
              </w:rPr>
              <w:t>25.14</w:t>
            </w:r>
            <w:bookmarkEnd w:id="4"/>
          </w:p>
        </w:tc>
        <w:tc>
          <w:tcPr>
            <w:tcW w:w="960" w:type="pct"/>
            <w:vAlign w:val="center"/>
          </w:tcPr>
          <w:p>
            <w:pPr>
              <w:ind w:firstLine="0" w:firstLineChars="0"/>
              <w:jc w:val="center"/>
              <w:rPr>
                <w:lang w:val="en-US"/>
              </w:rPr>
            </w:pPr>
            <w:r>
              <w:rPr>
                <w:rFonts w:hint="eastAsia"/>
                <w:kern w:val="2"/>
                <w:szCs w:val="24"/>
                <w:lang w:val="en-US"/>
              </w:rPr>
              <w:t>-6.59%</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r>
              <w:rPr>
                <w:rFonts w:hint="eastAsia"/>
                <w:lang w:val="en-US"/>
              </w:rPr>
              <w:t>20.45</w:t>
            </w:r>
            <w:bookmarkEnd w:id="6"/>
          </w:p>
        </w:tc>
        <w:tc>
          <w:tcPr>
            <w:tcW w:w="877" w:type="pct"/>
            <w:vAlign w:val="center"/>
          </w:tcPr>
          <w:p>
            <w:pPr>
              <w:ind w:firstLine="0" w:firstLineChars="0"/>
              <w:jc w:val="center"/>
              <w:rPr>
                <w:lang w:val="en-US"/>
              </w:rPr>
            </w:pPr>
            <w:r>
              <w:rPr>
                <w:lang w:val="en-US"/>
              </w:rPr>
              <w:t>22.12</w:t>
            </w:r>
            <w:bookmarkEnd w:id="7"/>
          </w:p>
        </w:tc>
        <w:tc>
          <w:tcPr>
            <w:tcW w:w="960" w:type="pct"/>
            <w:vAlign w:val="center"/>
          </w:tcPr>
          <w:p>
            <w:pPr>
              <w:ind w:firstLine="0" w:firstLineChars="0"/>
              <w:jc w:val="center"/>
              <w:rPr>
                <w:lang w:val="en-US"/>
              </w:rPr>
            </w:pPr>
            <w:r>
              <w:rPr>
                <w:rFonts w:hint="eastAsia"/>
                <w:kern w:val="2"/>
                <w:szCs w:val="24"/>
                <w:lang w:val="en-US"/>
              </w:rPr>
              <w:t>7.53%</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r>
              <w:rPr>
                <w:rFonts w:hint="eastAsia"/>
                <w:lang w:val="en-US"/>
              </w:rPr>
              <w:t>47.24</w:t>
            </w:r>
            <w:bookmarkEnd w:id="9"/>
          </w:p>
        </w:tc>
        <w:tc>
          <w:tcPr>
            <w:tcW w:w="877" w:type="pct"/>
            <w:vAlign w:val="center"/>
          </w:tcPr>
          <w:p>
            <w:pPr>
              <w:ind w:firstLine="0" w:firstLineChars="0"/>
              <w:jc w:val="center"/>
              <w:rPr>
                <w:lang w:val="en-US"/>
              </w:rPr>
            </w:pPr>
            <w:r>
              <w:rPr>
                <w:rFonts w:hint="eastAsia"/>
                <w:lang w:val="en-US"/>
              </w:rPr>
              <w:t>47.25</w:t>
            </w:r>
            <w:bookmarkEnd w:id="10"/>
          </w:p>
        </w:tc>
        <w:tc>
          <w:tcPr>
            <w:tcW w:w="960" w:type="pct"/>
            <w:vAlign w:val="center"/>
          </w:tcPr>
          <w:p>
            <w:pPr>
              <w:ind w:firstLine="0" w:firstLineChars="0"/>
              <w:jc w:val="center"/>
              <w:rPr>
                <w:lang w:val="en-US"/>
              </w:rPr>
            </w:pPr>
            <w:r>
              <w:rPr>
                <w:rFonts w:hint="eastAsia"/>
                <w:kern w:val="2"/>
                <w:szCs w:val="24"/>
                <w:lang w:val="en-US"/>
              </w:rPr>
              <w:t>0.02%</w:t>
            </w:r>
            <w:bookmarkEnd w:id="11"/>
            <w:bookmarkEnd w:id="1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4" w:space="0"/>
            </w:tcBorders>
            <w:vAlign w:val="center"/>
          </w:tcPr>
          <w:p>
            <w:pPr>
              <w:ind w:firstLine="0" w:firstLineChars="0"/>
              <w:jc w:val="center"/>
              <w:rPr>
                <w:lang w:val="en-US"/>
              </w:rPr>
            </w:pPr>
            <w:r>
              <w:rPr>
                <w:rFonts w:hint="eastAsia"/>
                <w:lang w:val="en-US"/>
              </w:rPr>
              <w:t>中央冷源</w:t>
            </w:r>
          </w:p>
        </w:tc>
        <w:tc>
          <w:tcPr>
            <w:tcW w:w="877" w:type="pct"/>
            <w:vAlign w:val="center"/>
          </w:tcPr>
          <w:p>
            <w:pPr>
              <w:ind w:firstLine="0" w:firstLineChars="0"/>
              <w:jc w:val="center"/>
              <w:rPr>
                <w:lang w:val="en-US"/>
              </w:rPr>
            </w:pPr>
            <w:r>
              <w:rPr>
                <w:lang w:val="en-US"/>
              </w:rPr>
              <w:t>0.00</w:t>
            </w:r>
            <w:bookmarkEnd w:id="13"/>
          </w:p>
        </w:tc>
        <w:tc>
          <w:tcPr>
            <w:tcW w:w="877" w:type="pct"/>
            <w:vAlign w:val="center"/>
          </w:tcPr>
          <w:p>
            <w:pPr>
              <w:ind w:firstLine="0" w:firstLineChars="0"/>
              <w:jc w:val="center"/>
              <w:rPr>
                <w:lang w:val="en-US"/>
              </w:rPr>
            </w:pPr>
            <w:r>
              <w:rPr>
                <w:lang w:val="en-US"/>
              </w:rPr>
              <w:t>0.00</w:t>
            </w:r>
            <w:bookmarkEnd w:id="14"/>
          </w:p>
        </w:tc>
        <w:tc>
          <w:tcPr>
            <w:tcW w:w="960" w:type="pct"/>
            <w:vMerge w:val="restart"/>
            <w:vAlign w:val="center"/>
          </w:tcPr>
          <w:p>
            <w:pPr>
              <w:ind w:firstLine="0" w:firstLineChars="0"/>
              <w:jc w:val="center"/>
              <w:rPr>
                <w:lang w:val="en-US"/>
              </w:rPr>
            </w:pPr>
            <w:r>
              <w:rPr>
                <w:lang w:val="en-US"/>
              </w:rPr>
              <w:t>-</w:t>
            </w:r>
            <w:bookmarkEnd w:id="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0.00</w:t>
            </w:r>
            <w:bookmarkEnd w:id="16"/>
          </w:p>
        </w:tc>
        <w:tc>
          <w:tcPr>
            <w:tcW w:w="877" w:type="pct"/>
            <w:vAlign w:val="center"/>
          </w:tcPr>
          <w:p>
            <w:pPr>
              <w:ind w:firstLine="0" w:firstLineChars="0"/>
              <w:jc w:val="center"/>
              <w:rPr>
                <w:lang w:val="en-US"/>
              </w:rPr>
            </w:pPr>
            <w:r>
              <w:rPr>
                <w:lang w:val="en-US"/>
              </w:rPr>
              <w:t>0.00</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20"/>
          </w:p>
        </w:tc>
        <w:tc>
          <w:tcPr>
            <w:tcW w:w="877" w:type="pct"/>
            <w:vAlign w:val="center"/>
          </w:tcPr>
          <w:p>
            <w:pPr>
              <w:ind w:firstLine="0" w:firstLineChars="0"/>
              <w:jc w:val="center"/>
              <w:rPr>
                <w:lang w:val="en-US"/>
              </w:rPr>
            </w:pPr>
            <w:r>
              <w:rPr>
                <w:lang w:val="en-US"/>
              </w:rPr>
              <w:t>10.93</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0.00</w:t>
            </w:r>
            <w:bookmarkEnd w:id="22"/>
          </w:p>
        </w:tc>
        <w:tc>
          <w:tcPr>
            <w:tcW w:w="877" w:type="pct"/>
            <w:vAlign w:val="center"/>
          </w:tcPr>
          <w:p>
            <w:pPr>
              <w:ind w:firstLine="0" w:firstLineChars="0"/>
              <w:jc w:val="center"/>
              <w:rPr>
                <w:lang w:val="en-US"/>
              </w:rPr>
            </w:pPr>
            <w:r>
              <w:rPr>
                <w:lang w:val="en-US"/>
              </w:rPr>
              <w:t>10.93</w:t>
            </w:r>
            <w:bookmarkEnd w:id="2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0.00</w:t>
            </w:r>
            <w:bookmarkEnd w:id="24"/>
          </w:p>
        </w:tc>
        <w:tc>
          <w:tcPr>
            <w:tcW w:w="877" w:type="pct"/>
            <w:vAlign w:val="center"/>
          </w:tcPr>
          <w:p>
            <w:pPr>
              <w:ind w:firstLine="0" w:firstLineChars="0"/>
              <w:jc w:val="center"/>
              <w:rPr>
                <w:lang w:val="en-US"/>
              </w:rPr>
            </w:pPr>
            <w:r>
              <w:rPr>
                <w:lang w:val="en-US"/>
              </w:rPr>
              <w:t>0.00</w:t>
            </w:r>
            <w:bookmarkEnd w:id="25"/>
          </w:p>
        </w:tc>
        <w:tc>
          <w:tcPr>
            <w:tcW w:w="960" w:type="pct"/>
            <w:vMerge w:val="restart"/>
            <w:vAlign w:val="center"/>
          </w:tcPr>
          <w:p>
            <w:pPr>
              <w:ind w:firstLine="0" w:firstLineChars="0"/>
              <w:jc w:val="center"/>
              <w:rPr>
                <w:lang w:val="en-US"/>
              </w:rPr>
            </w:pPr>
            <w:r>
              <w:rPr>
                <w:rFonts w:hint="eastAsia"/>
                <w:lang w:val="en-US"/>
              </w:rPr>
              <w:t>-</w:t>
            </w:r>
            <w:bookmarkEnd w:id="2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9"/>
          </w:p>
        </w:tc>
        <w:tc>
          <w:tcPr>
            <w:tcW w:w="877" w:type="pct"/>
            <w:vAlign w:val="center"/>
          </w:tcPr>
          <w:p>
            <w:pPr>
              <w:ind w:firstLine="0" w:firstLineChars="0"/>
              <w:jc w:val="center"/>
              <w:rPr>
                <w:lang w:val="en-US"/>
              </w:rPr>
            </w:pPr>
            <w:r>
              <w:rPr>
                <w:lang w:val="en-US"/>
              </w:rPr>
              <w:t>11.64</w:t>
            </w:r>
            <w:bookmarkEnd w:id="30"/>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0.00</w:t>
            </w:r>
            <w:bookmarkEnd w:id="31"/>
          </w:p>
        </w:tc>
        <w:tc>
          <w:tcPr>
            <w:tcW w:w="877" w:type="pct"/>
            <w:vAlign w:val="center"/>
          </w:tcPr>
          <w:p>
            <w:pPr>
              <w:ind w:firstLine="0" w:firstLineChars="0"/>
              <w:jc w:val="center"/>
              <w:rPr>
                <w:lang w:val="en-US"/>
              </w:rPr>
            </w:pPr>
            <w:r>
              <w:rPr>
                <w:lang w:val="en-US"/>
              </w:rPr>
              <w:t>11.64</w:t>
            </w:r>
            <w:bookmarkEnd w:id="32"/>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建筑电耗</w:t>
            </w:r>
          </w:p>
        </w:tc>
        <w:tc>
          <w:tcPr>
            <w:tcW w:w="877" w:type="pct"/>
            <w:vAlign w:val="center"/>
          </w:tcPr>
          <w:p>
            <w:pPr>
              <w:ind w:firstLine="0" w:firstLineChars="0"/>
              <w:jc w:val="center"/>
              <w:rPr>
                <w:lang w:val="en-US"/>
              </w:rPr>
            </w:pPr>
            <w:r>
              <w:rPr>
                <w:rFonts w:hint="eastAsia"/>
                <w:lang w:val="en-US"/>
              </w:rPr>
              <w:t>0.00</w:t>
            </w:r>
            <w:bookmarkEnd w:id="33"/>
          </w:p>
        </w:tc>
        <w:tc>
          <w:tcPr>
            <w:tcW w:w="877" w:type="pct"/>
            <w:vAlign w:val="center"/>
          </w:tcPr>
          <w:p>
            <w:pPr>
              <w:ind w:firstLine="0" w:firstLineChars="0"/>
              <w:jc w:val="center"/>
              <w:rPr>
                <w:lang w:val="en-US"/>
              </w:rPr>
            </w:pPr>
            <w:r>
              <w:rPr>
                <w:rFonts w:hint="eastAsia"/>
                <w:lang w:val="en-US"/>
              </w:rPr>
              <w:t>22.57</w:t>
            </w:r>
            <w:bookmarkEnd w:id="34"/>
          </w:p>
        </w:tc>
        <w:tc>
          <w:tcPr>
            <w:tcW w:w="960" w:type="pct"/>
            <w:vAlign w:val="center"/>
          </w:tcPr>
          <w:p>
            <w:pPr>
              <w:ind w:firstLine="0" w:firstLineChars="0"/>
              <w:jc w:val="center"/>
              <w:rPr>
                <w:lang w:val="en-US"/>
              </w:rPr>
            </w:pPr>
            <w:r>
              <w:rPr>
                <w:rFonts w:hint="eastAsia"/>
                <w:lang w:val="en-US"/>
              </w:rPr>
              <w:t>-</w:t>
            </w:r>
            <w:bookmarkEnd w:id="36"/>
          </w:p>
        </w:tc>
      </w:tr>
    </w:tbl>
    <w:p/>
    <w:p>
      <w:pPr>
        <w:widowControl w:val="0"/>
        <w:jc w:val="both"/>
      </w:pPr>
    </w:p>
    <w:p>
      <w:pPr>
        <w:pStyle w:val="2"/>
        <w:widowControl w:val="0"/>
        <w:jc w:val="both"/>
      </w:pPr>
      <w:r>
        <w:t>绿色建筑性能评估得分</w:t>
      </w:r>
    </w:p>
    <w:p>
      <w:pPr>
        <w:pStyle w:val="4"/>
        <w:widowControl w:val="0"/>
        <w:jc w:val="both"/>
      </w:pPr>
      <w:r>
        <w:t>降低建筑能耗</w:t>
      </w:r>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建筑能耗相比国家现行有关建筑节能标准降低10%</w:t>
            </w:r>
          </w:p>
        </w:tc>
        <w:tc>
          <w:tcPr>
            <w:vAlign w:val="center"/>
          </w:tcPr>
          <w:p>
            <w:r>
              <w:t>5</w:t>
            </w:r>
          </w:p>
        </w:tc>
        <w:tc>
          <w:tcPr>
            <w:vMerge w:val="restart"/>
            <w:vAlign w:val="center"/>
          </w:tcPr>
          <w:p>
            <w:pPr>
              <w:jc w:val="center"/>
              <w:rPr>
                <w:rFonts w:hint="default"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建筑能耗相比国家现行有关建筑节能标准降低20%</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50378-2019第7.2.8条</w:t>
            </w:r>
          </w:p>
        </w:tc>
      </w:tr>
    </w:tbl>
    <w:p>
      <w:pPr>
        <w:pStyle w:val="4"/>
        <w:widowControl w:val="0"/>
        <w:jc w:val="both"/>
      </w:pPr>
      <w:r>
        <w:t>降低建筑供暖空调系统能耗</w:t>
      </w:r>
    </w:p>
    <w:p>
      <w:pPr>
        <w:widowControl w:val="0"/>
        <w:jc w:val="both"/>
      </w:pPr>
      <w:r>
        <w:t>建筑供暖空调系统能耗相比国家现行有关建筑节能标准降低幅度及对应得分情况：</w:t>
      </w:r>
    </w:p>
    <w:tbl>
      <w:tblPr>
        <w:tblStyle w:val="19"/>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评价内容</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降低40%</w:t>
            </w:r>
          </w:p>
        </w:tc>
        <w:tc>
          <w:tcPr>
            <w:vAlign w:val="center"/>
          </w:tcPr>
          <w:p>
            <w:r>
              <w:t>10</w:t>
            </w:r>
          </w:p>
        </w:tc>
        <w:tc>
          <w:tcPr>
            <w:vMerge w:val="restart"/>
            <w:vAlign w:val="center"/>
          </w:tcPr>
          <w:p>
            <w:pPr>
              <w:jc w:val="center"/>
              <w:rPr>
                <w:rFonts w:hint="eastAsia" w:eastAsia="宋体"/>
                <w:lang w:val="en-US"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降低50%</w:t>
            </w:r>
          </w:p>
        </w:tc>
        <w:tc>
          <w:tcPr>
            <w:vAlign w:val="center"/>
          </w:tcPr>
          <w:p>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降低60%</w:t>
            </w:r>
          </w:p>
        </w:tc>
        <w:tc>
          <w:tcPr>
            <w:vAlign w:val="center"/>
          </w:tcPr>
          <w:p>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降低70%</w:t>
            </w:r>
          </w:p>
        </w:tc>
        <w:tc>
          <w:tcPr>
            <w:vAlign w:val="center"/>
          </w:tcPr>
          <w:p>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降低80%</w:t>
            </w:r>
          </w:p>
        </w:tc>
        <w:tc>
          <w:tcPr>
            <w:vAlign w:val="center"/>
          </w:tcPr>
          <w:p>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50378-2019第9.2.1条</w:t>
            </w:r>
          </w:p>
        </w:tc>
      </w:tr>
    </w:tbl>
    <w:p>
      <w:pPr>
        <w:sectPr>
          <w:pgSz w:w="11906" w:h="16838"/>
          <w:pgMar w:top="1440" w:right="1418" w:bottom="1440" w:left="1418" w:header="851" w:footer="992" w:gutter="0"/>
          <w:cols w:space="425" w:num="1"/>
          <w:docGrid w:type="lines" w:linePitch="312" w:charSpace="0"/>
        </w:sectPr>
      </w:pPr>
    </w:p>
    <w:p>
      <w:pPr>
        <w:pStyle w:val="2"/>
        <w:widowControl w:val="0"/>
        <w:jc w:val="both"/>
      </w:pPr>
      <w:r>
        <w:t>附录</w:t>
      </w:r>
    </w:p>
    <w:p>
      <w:pPr>
        <w:pStyle w:val="4"/>
        <w:widowControl w:val="0"/>
        <w:jc w:val="both"/>
      </w:pPr>
      <w:r>
        <w:t>工作日/节假日人员逐时在室率(%)</w:t>
      </w:r>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Pr>
        <w:widowControl w:val="0"/>
        <w:jc w:val="both"/>
      </w:pPr>
    </w:p>
    <w:p>
      <w:r>
        <w:t>注：上行：工作日；下行：节假日</w:t>
      </w:r>
    </w:p>
    <w:p>
      <w:pPr>
        <w:pStyle w:val="4"/>
      </w:pPr>
      <w:r>
        <w:t>工作日/节假日照明开关时间表(%)</w:t>
      </w:r>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r>
        <w:t>工作日/节假日设备逐时使用率(%)</w:t>
      </w:r>
    </w:p>
    <w:p/>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厨房</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楼梯间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pPr>
        <w:pStyle w:val="4"/>
      </w:pPr>
      <w:r>
        <w:t>工作日/节假日空调系统运行时间表(1:开,0:关)</w:t>
      </w:r>
    </w:p>
    <w:p/>
    <w:bookmarkEnd w:id="0"/>
    <w:tbl>
      <w:tblPr>
        <w:tblStyle w:val="19"/>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E174D"/>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B1303"/>
    <w:rsid w:val="003E0BD9"/>
    <w:rsid w:val="004B4FD9"/>
    <w:rsid w:val="004D230F"/>
    <w:rsid w:val="004D449D"/>
    <w:rsid w:val="00517BC7"/>
    <w:rsid w:val="005215FB"/>
    <w:rsid w:val="00534262"/>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 w:val="450E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4"/>
    <w:qFormat/>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character" w:customStyle="1" w:styleId="24">
    <w:name w:val="批注框文本 Char"/>
    <w:basedOn w:val="21"/>
    <w:link w:val="14"/>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tmp21.dotx</Template>
  <Pages>12</Pages>
  <Words>4671</Words>
  <Characters>6778</Characters>
  <Lines>45</Lines>
  <Paragraphs>12</Paragraphs>
  <TotalTime>11</TotalTime>
  <ScaleCrop>false</ScaleCrop>
  <LinksUpToDate>false</LinksUpToDate>
  <CharactersWithSpaces>6974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2022-01-06T12:55:00Z</dcterms:created>
  <dc:creator>庭酥</dc:creator>
  <cp:lastModifiedBy>庭酥</cp:lastModifiedBy>
  <dcterms:modified xsi:type="dcterms:W3CDTF">2022-01-06T13:03:27Z</dcterms:modified>
  <dc:title>综合能耗节能率计算书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870F204DF5FB47EE9D524B1CDEB50362</vt:lpwstr>
  </property>
  <property fmtid="{D5CDD505-2E9C-101B-9397-08002B2CF9AE}" pid="3" name="KSOProductBuildVer">
    <vt:lpwstr>2052-11.1.0.11115</vt:lpwstr>
  </property>
</Properties>
</file>