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pPr>
        <w:spacing w:line="180" w:lineRule="atLeast"/>
        <w:jc w:val="center"/>
        <w:rPr>
          <w:rFonts w:ascii="宋体" w:hAnsi="宋体"/>
          <w:b/>
          <w:bCs/>
          <w:sz w:val="21"/>
          <w:szCs w:val="21"/>
        </w:rPr>
      </w:pPr>
    </w:p>
    <w:p>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3"/>
              <w:tabs>
                <w:tab w:val="clear" w:pos="4153"/>
                <w:tab w:val="clear" w:pos="8306"/>
              </w:tabs>
              <w:snapToGrid/>
              <w:jc w:val="both"/>
              <w:rPr>
                <w:rFonts w:ascii="宋体" w:hAnsi="宋体"/>
                <w:sz w:val="21"/>
                <w:szCs w:val="21"/>
              </w:rPr>
            </w:pPr>
            <w:bookmarkStart w:id="0" w:name="工程名称"/>
            <w:bookmarkEnd w:id="0"/>
            <w:r>
              <w:rPr>
                <w:rFonts w:hint="eastAsia" w:ascii="宋体" w:hAnsi="宋体"/>
                <w:sz w:val="21"/>
                <w:szCs w:val="21"/>
              </w:rPr>
              <w:t>“隐喻再现”金长城遗址展览馆建筑设计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工程地点</w:t>
            </w:r>
          </w:p>
        </w:tc>
        <w:tc>
          <w:tcPr>
            <w:tcW w:w="3780" w:type="dxa"/>
          </w:tcPr>
          <w:p>
            <w:pPr>
              <w:jc w:val="both"/>
              <w:rPr>
                <w:rFonts w:ascii="宋体" w:hAnsi="宋体"/>
                <w:sz w:val="21"/>
                <w:szCs w:val="21"/>
              </w:rPr>
            </w:pPr>
            <w:bookmarkStart w:id="1" w:name="工程地点"/>
            <w:r>
              <w:rPr>
                <w:rFonts w:hint="eastAsia" w:ascii="宋体" w:hAnsi="宋体"/>
                <w:sz w:val="21"/>
                <w:szCs w:val="21"/>
              </w:rPr>
              <w:t>齐齐哈尔</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both"/>
              <w:rPr>
                <w:rFonts w:ascii="宋体" w:hAnsi="宋体"/>
                <w:sz w:val="21"/>
                <w:szCs w:val="21"/>
              </w:rPr>
            </w:pPr>
            <w:bookmarkStart w:id="2" w:name="设计编号"/>
            <w:bookmarkEnd w:id="2"/>
            <w:r>
              <w:rPr>
                <w:rFonts w:hint="eastAsia" w:ascii="宋体" w:hAnsi="宋体"/>
                <w:sz w:val="21"/>
                <w:szCs w:val="21"/>
              </w:rPr>
              <w:t>GZ40027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rPr>
                <w:rFonts w:ascii="宋体" w:hAnsi="宋体"/>
                <w:sz w:val="21"/>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rPr>
                <w:rFonts w:ascii="宋体" w:hAnsi="宋体"/>
                <w:sz w:val="21"/>
                <w:szCs w:val="21"/>
              </w:rPr>
            </w:pPr>
            <w:bookmarkStart w:id="4" w:name="设计单位"/>
            <w:bookmarkEnd w:id="4"/>
            <w:r>
              <w:rPr>
                <w:rFonts w:hint="eastAsia" w:ascii="宋体" w:hAnsi="宋体"/>
                <w:sz w:val="21"/>
                <w:szCs w:val="21"/>
              </w:rPr>
              <w:t>GZ40027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 计 人</w:t>
            </w:r>
          </w:p>
        </w:tc>
        <w:tc>
          <w:tcPr>
            <w:tcW w:w="3780" w:type="dxa"/>
          </w:tcPr>
          <w:p>
            <w:pPr>
              <w:rPr>
                <w:rFonts w:ascii="宋体" w:hAnsi="宋体"/>
                <w:sz w:val="21"/>
                <w:szCs w:val="21"/>
              </w:rPr>
            </w:pPr>
            <w:r>
              <w:rPr>
                <w:rFonts w:hint="eastAsia" w:ascii="宋体" w:hAnsi="宋体"/>
                <w:sz w:val="21"/>
                <w:szCs w:val="21"/>
              </w:rPr>
              <w:t>GZ40027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校 对 人</w:t>
            </w:r>
          </w:p>
        </w:tc>
        <w:tc>
          <w:tcPr>
            <w:tcW w:w="3780" w:type="dxa"/>
          </w:tcPr>
          <w:p>
            <w:pPr>
              <w:rPr>
                <w:rFonts w:ascii="宋体" w:hAnsi="宋体"/>
                <w:sz w:val="21"/>
                <w:szCs w:val="21"/>
              </w:rPr>
            </w:pPr>
            <w:r>
              <w:rPr>
                <w:rFonts w:hint="eastAsia" w:ascii="宋体" w:hAnsi="宋体"/>
                <w:sz w:val="21"/>
                <w:szCs w:val="21"/>
              </w:rPr>
              <w:t>GZ40027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rPr>
                <w:rFonts w:ascii="宋体" w:hAnsi="宋体"/>
                <w:sz w:val="21"/>
                <w:szCs w:val="21"/>
              </w:rPr>
            </w:pPr>
            <w:r>
              <w:rPr>
                <w:rFonts w:hint="eastAsia" w:ascii="宋体" w:hAnsi="宋体"/>
                <w:sz w:val="21"/>
                <w:szCs w:val="21"/>
              </w:rPr>
              <w:t>GZ40027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设计日期</w:t>
            </w:r>
          </w:p>
        </w:tc>
        <w:tc>
          <w:tcPr>
            <w:tcW w:w="3780" w:type="dxa"/>
          </w:tcPr>
          <w:p>
            <w:pPr>
              <w:rPr>
                <w:rFonts w:hint="default" w:ascii="宋体" w:hAnsi="宋体" w:eastAsia="宋体"/>
                <w:sz w:val="21"/>
                <w:szCs w:val="21"/>
                <w:lang w:val="en-US" w:eastAsia="zh-CN"/>
              </w:rPr>
            </w:pPr>
            <w:bookmarkStart w:id="5" w:name="设计日期"/>
            <w:bookmarkEnd w:id="5"/>
            <w:r>
              <w:rPr>
                <w:rFonts w:hint="eastAsia" w:ascii="宋体" w:hAnsi="宋体"/>
                <w:sz w:val="21"/>
                <w:szCs w:val="21"/>
                <w:lang w:val="en-US" w:eastAsia="zh-CN"/>
              </w:rPr>
              <w:t>2021年12月</w:t>
            </w:r>
            <w:bookmarkStart w:id="34" w:name="_GoBack"/>
            <w:bookmarkEnd w:id="34"/>
          </w:p>
        </w:tc>
      </w:tr>
    </w:tbl>
    <w:p>
      <w:pPr>
        <w:spacing w:line="240" w:lineRule="auto"/>
        <w:rPr>
          <w:rFonts w:ascii="宋体" w:hAnsi="宋体"/>
          <w:lang w:val="en-US"/>
        </w:rPr>
      </w:pPr>
    </w:p>
    <w:p>
      <w:pPr>
        <w:spacing w:line="240" w:lineRule="auto"/>
        <w:jc w:val="center"/>
        <w:rPr>
          <w:rFonts w:ascii="宋体" w:hAnsi="宋体"/>
          <w:b/>
          <w:bCs/>
          <w:sz w:val="30"/>
          <w:szCs w:val="32"/>
        </w:rPr>
      </w:pPr>
      <w:bookmarkStart w:id="6" w:name="二维码"/>
      <w:bookmarkEnd w:id="6"/>
      <w:r>
        <w:drawing>
          <wp:inline distT="0" distB="0" distL="0" distR="0">
            <wp:extent cx="1514475" cy="15144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6"/>
                    <a:stretch>
                      <a:fillRect/>
                    </a:stretch>
                  </pic:blipFill>
                  <pic:spPr>
                    <a:xfrm>
                      <a:off x="0" y="0"/>
                      <a:ext cx="1514634" cy="1514634"/>
                    </a:xfrm>
                    <a:prstGeom prst="rect">
                      <a:avLst/>
                    </a:prstGeom>
                  </pic:spPr>
                </pic:pic>
              </a:graphicData>
            </a:graphic>
          </wp:inline>
        </w:drawing>
      </w:r>
    </w:p>
    <w:p>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4"/>
              <w:pBdr>
                <w:bottom w:val="none" w:color="auto" w:sz="0" w:space="0"/>
              </w:pBdr>
              <w:tabs>
                <w:tab w:val="clear" w:pos="4153"/>
                <w:tab w:val="clear" w:pos="8306"/>
              </w:tabs>
              <w:snapToGrid/>
              <w:jc w:val="both"/>
              <w:rPr>
                <w:rFonts w:ascii="宋体" w:hAnsi="宋体"/>
              </w:rPr>
            </w:pPr>
            <w:r>
              <w:rPr>
                <w:rFonts w:hint="eastAsia" w:ascii="宋体" w:hAnsi="宋体"/>
              </w:rPr>
              <w:t>绿建斯维尔</w:t>
            </w:r>
            <w:bookmarkStart w:id="7" w:name="采用软件"/>
            <w:r>
              <w:rPr>
                <w:rFonts w:hint="eastAsia" w:ascii="宋体" w:hAnsi="宋体"/>
              </w:rPr>
              <w:t>建筑通风Vent2020</w:t>
            </w:r>
            <w:bookmarkEnd w:id="7"/>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rPr>
                <w:rFonts w:ascii="宋体" w:hAnsi="宋体"/>
                <w:szCs w:val="18"/>
              </w:rPr>
              <w:t>20200606</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T19846123180</w:t>
            </w:r>
            <w:bookmarkEnd w:id="9"/>
          </w:p>
        </w:tc>
      </w:tr>
    </w:tbl>
    <w:p>
      <w:pPr>
        <w:spacing w:line="1000" w:lineRule="exact"/>
        <w:jc w:val="center"/>
      </w:pPr>
    </w:p>
    <w:p>
      <w:pPr>
        <w:pStyle w:val="15"/>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pPr>
      <w:bookmarkStart w:id="10" w:name="_Toc420663548"/>
      <w:bookmarkStart w:id="11" w:name="_Toc420309360"/>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518" w:type="dxa"/>
          </w:tcPr>
          <w:p>
            <w:pPr>
              <w:pStyle w:val="3"/>
              <w:ind w:firstLine="0" w:firstLineChars="0"/>
              <w:rPr>
                <w:rFonts w:ascii="宋体" w:hAnsi="宋体"/>
                <w:lang w:val="en-US"/>
              </w:rPr>
            </w:pPr>
            <w:bookmarkStart w:id="12" w:name="工程名称2"/>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518" w:type="dxa"/>
          </w:tcPr>
          <w:p>
            <w:pPr>
              <w:pStyle w:val="3"/>
              <w:ind w:firstLine="0" w:firstLineChars="0"/>
              <w:rPr>
                <w:rFonts w:ascii="宋体" w:hAnsi="宋体"/>
                <w:lang w:val="en-US"/>
              </w:rPr>
            </w:pPr>
            <w:bookmarkStart w:id="13" w:name="工程地点2"/>
            <w:r>
              <w:rPr>
                <w:rFonts w:hint="eastAsia" w:ascii="宋体" w:hAnsi="宋体"/>
              </w:rPr>
              <w:t>齐齐哈尔</w:t>
            </w:r>
            <w:bookmarkEnd w:id="13"/>
          </w:p>
        </w:tc>
      </w:tr>
    </w:tbl>
    <w:p>
      <w:pPr>
        <w:pStyle w:val="3"/>
        <w:ind w:firstLine="420"/>
      </w:pPr>
      <w:bookmarkStart w:id="14" w:name="项目概况"/>
      <w:bookmarkEnd w:id="14"/>
      <w:bookmarkStart w:id="15" w:name="_Toc420309361"/>
      <w:bookmarkStart w:id="16" w:name="_Toc420663549"/>
    </w:p>
    <w:p>
      <w:pPr>
        <w:pStyle w:val="2"/>
      </w:pPr>
      <w:bookmarkStart w:id="17" w:name="TitleFormat"/>
      <w:r>
        <w:rPr>
          <w:rFonts w:hint="eastAsia"/>
        </w:rPr>
        <w:t>计算依据</w:t>
      </w:r>
      <w:bookmarkEnd w:id="15"/>
      <w:bookmarkEnd w:id="16"/>
    </w:p>
    <w:bookmarkEnd w:id="17"/>
    <w:p>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1. 《绿色建筑评价标准》GB/T50378</w:t>
      </w:r>
      <w:r>
        <w:rPr>
          <w:rFonts w:hint="eastAsia"/>
          <w:lang w:val="en-US"/>
        </w:rPr>
        <w:t>—</w:t>
      </w:r>
      <w:r>
        <w:rPr>
          <w:kern w:val="2"/>
          <w:sz w:val="21"/>
          <w:szCs w:val="24"/>
          <w:lang w:val="en-US"/>
        </w:rPr>
        <w:t>2019</w:t>
      </w:r>
    </w:p>
    <w:p>
      <w:pPr>
        <w:widowControl w:val="0"/>
        <w:spacing w:line="240" w:lineRule="auto"/>
        <w:jc w:val="both"/>
        <w:rPr>
          <w:kern w:val="2"/>
          <w:sz w:val="21"/>
          <w:szCs w:val="24"/>
          <w:lang w:val="en-US"/>
        </w:rPr>
      </w:pPr>
      <w:r>
        <w:rPr>
          <w:rFonts w:hint="eastAsia"/>
          <w:kern w:val="2"/>
          <w:sz w:val="21"/>
          <w:szCs w:val="24"/>
          <w:lang w:val="en-US"/>
        </w:rPr>
        <w:t>2. 《绿色建筑评价技术细则》</w:t>
      </w:r>
    </w:p>
    <w:p>
      <w:pPr>
        <w:widowControl w:val="0"/>
        <w:spacing w:line="240" w:lineRule="auto"/>
        <w:jc w:val="both"/>
        <w:rPr>
          <w:kern w:val="2"/>
          <w:sz w:val="21"/>
          <w:szCs w:val="24"/>
          <w:lang w:val="en-US"/>
        </w:rPr>
      </w:pPr>
      <w:r>
        <w:rPr>
          <w:rFonts w:hint="eastAsia"/>
          <w:kern w:val="2"/>
          <w:sz w:val="21"/>
          <w:szCs w:val="24"/>
          <w:lang w:val="en-US"/>
        </w:rPr>
        <w:t xml:space="preserve">3.  </w:t>
      </w:r>
      <w:bookmarkStart w:id="19" w:name="工程名称3"/>
      <w:bookmarkEnd w:id="19"/>
      <w:r>
        <w:rPr>
          <w:rFonts w:hint="eastAsia"/>
          <w:kern w:val="2"/>
          <w:sz w:val="21"/>
          <w:szCs w:val="24"/>
          <w:lang w:val="en-US"/>
        </w:rPr>
        <w:t>相关建筑图纸</w:t>
      </w:r>
    </w:p>
    <w:p>
      <w:pPr>
        <w:pStyle w:val="2"/>
        <w:rPr>
          <w:kern w:val="2"/>
        </w:rPr>
      </w:pPr>
      <w:bookmarkStart w:id="20" w:name="_Toc420663550"/>
      <w:r>
        <w:rPr>
          <w:rFonts w:hint="eastAsia"/>
          <w:kern w:val="2"/>
        </w:rPr>
        <w:t>参考</w:t>
      </w:r>
      <w:r>
        <w:rPr>
          <w:kern w:val="2"/>
        </w:rPr>
        <w:t>标准</w:t>
      </w:r>
      <w:bookmarkEnd w:id="20"/>
    </w:p>
    <w:p>
      <w:pPr>
        <w:pStyle w:val="3"/>
        <w:ind w:firstLine="420"/>
        <w:rPr>
          <w:kern w:val="2"/>
          <w:szCs w:val="24"/>
          <w:lang w:val="en-US"/>
        </w:rPr>
      </w:pPr>
      <w:bookmarkStart w:id="21" w:name="_Toc420663551"/>
      <w:r>
        <w:rPr>
          <w:rFonts w:hint="eastAsia"/>
          <w:kern w:val="2"/>
          <w:szCs w:val="24"/>
          <w:lang w:val="en-US"/>
        </w:rPr>
        <w:t>《绿色建筑评价标准》GB/T50378</w:t>
      </w:r>
      <w:r>
        <w:rPr>
          <w:rFonts w:hint="eastAsia"/>
          <w:lang w:val="en-US"/>
        </w:rPr>
        <w:t>—</w:t>
      </w:r>
      <w:r>
        <w:rPr>
          <w:kern w:val="2"/>
          <w:szCs w:val="24"/>
          <w:lang w:val="en-US"/>
        </w:rPr>
        <w:t>2019</w:t>
      </w:r>
      <w:r>
        <w:rPr>
          <w:rFonts w:hint="eastAsia"/>
          <w:kern w:val="2"/>
          <w:szCs w:val="24"/>
          <w:lang w:val="en-US"/>
        </w:rPr>
        <w:t xml:space="preserve"> 中5.2.10条款 对公共建筑的室内自然通风效果按以下规则评分：</w:t>
      </w:r>
    </w:p>
    <w:p>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2" w:name="OLE_LINK3"/>
      <w:bookmarkStart w:id="23" w:name="OLE_LINK4"/>
      <w:r>
        <w:rPr>
          <w:rFonts w:hint="eastAsia" w:ascii="Arial" w:hAnsi="Arial" w:eastAsia="黑体" w:cs="Arial"/>
          <w:kern w:val="2"/>
          <w:sz w:val="20"/>
          <w:szCs w:val="18"/>
          <w:lang w:val="en-US"/>
        </w:rPr>
        <w:t>表1 公共建筑过渡季节典型工况下主要功能房间自然通风评分规则</w:t>
      </w:r>
    </w:p>
    <w:bookmarkEnd w:id="22"/>
    <w:bookmarkEnd w:id="23"/>
    <w:tbl>
      <w:tblPr>
        <w:tblStyle w:val="16"/>
        <w:tblW w:w="8237" w:type="dxa"/>
        <w:jc w:val="center"/>
        <w:tblLayout w:type="autofit"/>
        <w:tblCellMar>
          <w:top w:w="0" w:type="dxa"/>
          <w:left w:w="108" w:type="dxa"/>
          <w:bottom w:w="0" w:type="dxa"/>
          <w:right w:w="108" w:type="dxa"/>
        </w:tblCellMar>
      </w:tblPr>
      <w:tblGrid>
        <w:gridCol w:w="6536"/>
        <w:gridCol w:w="1701"/>
      </w:tblGrid>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得分</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5</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6</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w:t>
            </w:r>
          </w:p>
        </w:tc>
      </w:tr>
    </w:tbl>
    <w:p>
      <w:pPr>
        <w:pStyle w:val="2"/>
        <w:rPr>
          <w:kern w:val="2"/>
        </w:rPr>
      </w:pPr>
      <w:r>
        <w:rPr>
          <w:rFonts w:hint="eastAsia"/>
          <w:kern w:val="2"/>
        </w:rPr>
        <w:t>计算</w:t>
      </w:r>
      <w:bookmarkEnd w:id="21"/>
      <w:r>
        <w:rPr>
          <w:rFonts w:hint="eastAsia"/>
          <w:kern w:val="2"/>
        </w:rPr>
        <w:t>方法</w:t>
      </w:r>
    </w:p>
    <w:p>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pPr>
        <w:pStyle w:val="3"/>
        <w:ind w:firstLine="1134" w:firstLineChars="540"/>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ctrlPr>
                <w:rPr>
                  <w:rFonts w:ascii="Cambria Math" w:hAnsi="Cambria Math"/>
                </w:rPr>
              </m:ctrlPr>
            </m:e>
            <m:sub>
              <m:r>
                <w:rPr>
                  <w:rFonts w:ascii="Cambria Math" w:hAnsi="Cambria Math"/>
                </w:rPr>
                <m:t>d</m:t>
              </m:r>
              <m:ctrlPr>
                <w:rPr>
                  <w:rFonts w:ascii="Cambria Math" w:hAnsi="Cambria Math"/>
                </w:rPr>
              </m:ctrlPr>
            </m:sub>
          </m:sSub>
          <m: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w:rPr>
                      <w:rFonts w:ascii="Cambria Math" w:hAnsi="Cambria Math"/>
                    </w:rPr>
                    <m:t>2∆P</m:t>
                  </m:r>
                  <m:ctrlPr>
                    <w:rPr>
                      <w:rFonts w:ascii="Cambria Math" w:hAnsi="Cambria Math"/>
                      <w:i/>
                    </w:rPr>
                  </m:ctrlPr>
                </m:num>
                <m:den>
                  <m:r>
                    <w:rPr>
                      <w:rFonts w:ascii="Cambria Math" w:hAnsi="Cambria Math"/>
                    </w:rPr>
                    <m:t>ρ</m:t>
                  </m:r>
                  <m:ctrlPr>
                    <w:rPr>
                      <w:rFonts w:ascii="Cambria Math" w:hAnsi="Cambria Math"/>
                      <w:i/>
                    </w:rPr>
                  </m:ctrlPr>
                </m:den>
              </m:f>
              <m:ctrlPr>
                <w:rPr>
                  <w:rFonts w:ascii="Cambria Math" w:hAnsi="Cambria Math"/>
                  <w:i/>
                </w:rPr>
              </m:ctrlPr>
            </m:e>
          </m:rad>
        </m:oMath>
      </m:oMathPara>
    </w:p>
    <w:p>
      <w:pPr>
        <w:pStyle w:val="3"/>
        <w:ind w:firstLine="0" w:firstLineChars="0"/>
        <w:rPr>
          <w:lang w:val="en-US"/>
        </w:rPr>
      </w:pPr>
      <m:oMath>
        <m: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w:rPr>
                <w:rFonts w:ascii="Cambria Math" w:hAnsi="Cambria Math"/>
                <w:lang w:val="en-US"/>
              </w:rPr>
              <m:t>m</m:t>
            </m:r>
            <m:ctrlPr>
              <w:rPr>
                <w:rFonts w:ascii="Cambria Math" w:hAnsi="Cambria Math"/>
              </w:rPr>
            </m:ctrlPr>
          </m:e>
          <m:sup>
            <m: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w:rPr>
                <w:rFonts w:ascii="Cambria Math" w:hAnsi="Cambria Math"/>
                <w:lang w:val="en-US"/>
              </w:rPr>
              <m:t>m</m:t>
            </m:r>
            <m:ctrlPr>
              <w:rPr>
                <w:rFonts w:ascii="Cambria Math" w:hAnsi="Cambria Math"/>
              </w:rPr>
            </m:ctrlPr>
          </m:e>
          <m:sup>
            <m:r>
              <w:rPr>
                <w:rFonts w:ascii="Cambria Math" w:hAnsi="Cambria Math"/>
                <w:lang w:val="en-US"/>
              </w:rPr>
              <m:t>2</m:t>
            </m:r>
            <m:ctrlPr>
              <w:rPr>
                <w:rFonts w:ascii="Cambria Math" w:hAnsi="Cambria Math"/>
              </w:rPr>
            </m:ctrlPr>
          </m:sup>
        </m:sSup>
      </m:oMath>
      <w:r>
        <w:rPr>
          <w:rFonts w:hint="eastAsia"/>
          <w:lang w:val="en-US"/>
        </w:rPr>
        <w:t>）</w:t>
      </w:r>
    </w:p>
    <w:p>
      <w:pPr>
        <w:pStyle w:val="3"/>
        <w:ind w:firstLine="0" w:firstLineChars="0"/>
        <w:rPr>
          <w:rFonts w:ascii="Calibri" w:hAnsi="Calibri"/>
        </w:rPr>
      </w:pPr>
      <m:oMath>
        <m: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w:rPr>
                <w:rFonts w:ascii="Cambria Math" w:hAnsi="Cambria Math"/>
                <w:lang w:val="en-US"/>
              </w:rPr>
              <m:t>kg</m:t>
            </m:r>
            <m:ctrlPr>
              <w:rPr>
                <w:rFonts w:ascii="Cambria Math" w:hAnsi="Cambria Math"/>
              </w:rPr>
            </m:ctrlPr>
          </m:num>
          <m:den>
            <m:sSup>
              <m:sSupPr>
                <m:ctrlPr>
                  <w:rPr>
                    <w:rFonts w:ascii="Cambria Math" w:hAnsi="Cambria Math"/>
                  </w:rPr>
                </m:ctrlPr>
              </m:sSupPr>
              <m:e>
                <m:r>
                  <w:rPr>
                    <w:rFonts w:ascii="Cambria Math" w:hAnsi="Cambria Math"/>
                    <w:lang w:val="en-US"/>
                  </w:rPr>
                  <m:t>m</m:t>
                </m:r>
                <m:ctrlPr>
                  <w:rPr>
                    <w:rFonts w:ascii="Cambria Math" w:hAnsi="Cambria Math"/>
                  </w:rPr>
                </m:ctrlPr>
              </m:e>
              <m:sup>
                <m: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pPr>
        <w:pStyle w:val="3"/>
        <w:ind w:firstLine="420"/>
        <w:rPr>
          <w:lang w:val="en-US"/>
        </w:rPr>
      </w:pPr>
      <w:r>
        <w:rPr>
          <w:rFonts w:hint="eastAsia"/>
          <w:lang w:val="en-US"/>
        </w:rPr>
        <w:t>通过上述方法获取一个房间的体积流量</w:t>
      </w:r>
      <m:oMath>
        <m:r>
          <w:rPr>
            <w:rFonts w:ascii="Cambria Math" w:hAnsi="Cambria Math"/>
          </w:rPr>
          <m:t>Q</m:t>
        </m:r>
      </m:oMath>
      <w:r>
        <w:rPr>
          <w:rFonts w:hint="eastAsia"/>
          <w:lang w:val="en-US"/>
        </w:rPr>
        <w:t>之后，即可进行房间换气次数的计算：</w:t>
      </w:r>
    </w:p>
    <w:p>
      <w:pPr>
        <w:pStyle w:val="3"/>
        <w:ind w:firstLine="525" w:firstLineChars="250"/>
        <w:rPr>
          <w:lang w:val="en-US"/>
        </w:rPr>
      </w:pPr>
    </w:p>
    <w:p>
      <w:pPr>
        <w:pStyle w:val="3"/>
        <w:ind w:firstLine="1134" w:firstLineChars="540"/>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ctrlPr>
                <w:rPr>
                  <w:rFonts w:ascii="Cambria Math" w:hAnsi="Cambria Math"/>
                </w:rPr>
              </m:ctrlPr>
            </m:num>
            <m:den>
              <m:r>
                <w:rPr>
                  <w:rFonts w:ascii="Cambria Math" w:hAnsi="Cambria Math"/>
                </w:rPr>
                <m:t>V</m:t>
              </m:r>
              <m:ctrlPr>
                <w:rPr>
                  <w:rFonts w:ascii="Cambria Math" w:hAnsi="Cambria Math"/>
                </w:rPr>
              </m:ctrlPr>
            </m:den>
          </m:f>
        </m:oMath>
      </m:oMathPara>
    </w:p>
    <w:p>
      <w:pPr>
        <w:pStyle w:val="3"/>
        <w:ind w:firstLine="0" w:firstLineChars="0"/>
        <w:rPr>
          <w:rFonts w:ascii="Calibri" w:hAnsi="Calibri"/>
        </w:rPr>
      </w:pPr>
      <m:oMath>
        <m: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w:rPr>
                <w:rFonts w:ascii="Cambria Math" w:hAnsi="Cambria Math"/>
                <w:lang w:val="en-US"/>
              </w:rPr>
              <m:t>m</m:t>
            </m:r>
            <m:ctrlPr>
              <w:rPr>
                <w:rFonts w:ascii="Cambria Math" w:hAnsi="Cambria Math"/>
              </w:rPr>
            </m:ctrlPr>
          </m:e>
          <m:sup>
            <m: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m:oMath>
        <m: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pPr>
        <w:pStyle w:val="3"/>
        <w:ind w:firstLine="0" w:firstLineChars="0"/>
        <w:rPr>
          <w:lang w:val="en-US"/>
        </w:rPr>
      </w:pPr>
      <m:oMath>
        <m: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pPr>
        <w:pStyle w:val="2"/>
        <w:rPr>
          <w:kern w:val="2"/>
        </w:rPr>
      </w:pPr>
      <w:r>
        <w:rPr>
          <w:rFonts w:hint="eastAsia"/>
          <w:kern w:val="2"/>
        </w:rPr>
        <w:t>换气次数</w:t>
      </w:r>
      <w:r>
        <w:rPr>
          <w:kern w:val="2"/>
        </w:rPr>
        <w:t>计算表</w:t>
      </w:r>
    </w:p>
    <w:p>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pPr>
              <w:widowControl w:val="0"/>
              <w:spacing w:line="240" w:lineRule="auto"/>
              <w:jc w:val="center"/>
              <w:rPr>
                <w:kern w:val="2"/>
                <w:sz w:val="21"/>
                <w:szCs w:val="24"/>
                <w:lang w:val="en-US"/>
              </w:rPr>
            </w:pPr>
            <w:bookmarkStart w:id="24" w:name="统计计算表表头"/>
            <w:r>
              <w:rPr>
                <w:rFonts w:hint="eastAsia"/>
                <w:kern w:val="2"/>
                <w:sz w:val="21"/>
                <w:szCs w:val="24"/>
                <w:lang w:val="en-US"/>
              </w:rPr>
              <w:t>换气次数大于2次/h的面积比</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5" w:name="面积分子"/>
            <w:r>
              <w:rPr>
                <w:rFonts w:hint="eastAsia"/>
                <w:kern w:val="2"/>
                <w:sz w:val="21"/>
                <w:szCs w:val="24"/>
                <w:lang w:val="en-US"/>
              </w:rPr>
              <w:t>2003.50</w:t>
            </w:r>
            <w:bookmarkEnd w:id="25"/>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6" w:name="面积分母"/>
            <w:r>
              <w:rPr>
                <w:rFonts w:hint="eastAsia"/>
                <w:kern w:val="2"/>
                <w:sz w:val="21"/>
                <w:szCs w:val="24"/>
                <w:lang w:val="en-US"/>
              </w:rPr>
              <w:t>2255.80</w:t>
            </w:r>
            <w:bookmarkEnd w:id="26"/>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7" w:name="面积比"/>
            <w:r>
              <w:rPr>
                <w:rFonts w:hint="eastAsia"/>
                <w:kern w:val="2"/>
                <w:sz w:val="21"/>
                <w:szCs w:val="24"/>
                <w:lang w:val="en-US"/>
              </w:rPr>
              <w:t>88.82</w:t>
            </w:r>
            <w:bookmarkEnd w:id="27"/>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bookmarkEnd w:id="24"/>
    </w:tbl>
    <w:p>
      <w:pPr>
        <w:pStyle w:val="3"/>
        <w:ind w:firstLine="525" w:firstLineChars="250"/>
        <w:rPr>
          <w:kern w:val="2"/>
        </w:rPr>
      </w:pPr>
    </w:p>
    <w:p>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tblPrEx>
          <w:tblCellMar>
            <w:top w:w="0" w:type="dxa"/>
            <w:left w:w="108" w:type="dxa"/>
            <w:bottom w:w="0" w:type="dxa"/>
            <w:right w:w="108" w:type="dxa"/>
          </w:tblCellMar>
        </w:tblPrEx>
        <w:trPr>
          <w:trHeight w:val="540" w:hRule="atLeast"/>
          <w:tblHeader/>
        </w:trPr>
        <w:tc>
          <w:tcPr>
            <w:tcW w:w="2280" w:type="dxa"/>
            <w:tcBorders>
              <w:top w:val="single" w:color="auto" w:sz="4" w:space="0"/>
              <w:left w:val="single" w:color="auto" w:sz="4" w:space="0"/>
              <w:bottom w:val="single" w:color="auto" w:sz="4" w:space="0"/>
              <w:right w:val="single" w:color="auto" w:sz="4" w:space="0"/>
            </w:tcBorders>
            <w:shd w:val="clear" w:color="auto" w:fill="DEDEDE"/>
            <w:noWrap/>
            <w:vAlign w:val="center"/>
          </w:tcPr>
          <w:p>
            <w:pPr>
              <w:spacing w:line="240" w:lineRule="auto"/>
              <w:rPr>
                <w:rFonts w:ascii="宋体" w:hAnsi="宋体" w:cs="宋体"/>
                <w:color w:val="000000"/>
                <w:szCs w:val="18"/>
                <w:lang w:val="en-US"/>
              </w:rPr>
            </w:pPr>
            <w:bookmarkStart w:id="28" w:name="房间表"/>
            <w:r>
              <w:rPr>
                <w:rFonts w:hint="eastAsia" w:ascii="宋体" w:hAnsi="宋体" w:cs="宋体"/>
                <w:color w:val="000000"/>
                <w:szCs w:val="18"/>
                <w:lang w:val="en-US"/>
              </w:rPr>
              <w:t>分类</w:t>
            </w:r>
          </w:p>
        </w:tc>
        <w:tc>
          <w:tcPr>
            <w:tcW w:w="760" w:type="dxa"/>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W w:w="760" w:type="dxa"/>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W w:w="987" w:type="dxa"/>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1001[办公-会议室]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116.64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21.60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58.73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1002[房间]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116.64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21.60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1003[房间]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136.08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25.20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1005[房间]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150.66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27.90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63.48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1006[房间]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121.50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22.50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75.32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1019[房间]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583.20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108.00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1020[房间]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1038.10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192.24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19.29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2001[房间]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1117.80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207.00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2002[房间]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1038.10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192.24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11.72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2003[房间]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674.90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124.98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2004[房间]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594.65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110.12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45.36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2007[房间]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157.46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29.16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2008[房间]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150.66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27.90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38.83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2009[房间]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144.33</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26.73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48.07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2010[房间]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136.08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25.20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30.06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2013[房间]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122.15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22.62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33.48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2014[房间]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121.50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22.50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48.66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2015[房间]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116.64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21.60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159.96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2016[房间]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116.64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21.60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62.85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2019[房间]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87.48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31.49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2029[房间]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17.49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3001[房间]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233.28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43.20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97.17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3002[房间]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136.08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25.20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54.19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3004[房间]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150.66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27.90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44.40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3005[房间]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121.50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22.50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55.19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3008[房间]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122.15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22.62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49.06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3010[房间]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713.88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132.20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47.47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3014[房间]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1263.60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234.00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3015[房间]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1038.10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192.24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13.90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3020[房间]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674.90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124.98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32.19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3022[房间]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134.78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24.96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3023[房间]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144.33</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26.73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43.04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3026[房间]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157.46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29.16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3029[房间]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47.63</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8.82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3030[房间]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11.66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X001[房间]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272.16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50.40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27.70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X002[房间]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100.44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18.60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23.85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bookmarkEnd w:id="28"/>
    </w:tbl>
    <w:p>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pPr>
        <w:pStyle w:val="3"/>
        <w:ind w:firstLine="0" w:firstLineChars="0"/>
        <w:rPr>
          <w:kern w:val="2"/>
        </w:rPr>
      </w:pPr>
    </w:p>
    <w:p>
      <w:pPr>
        <w:pStyle w:val="2"/>
        <w:rPr>
          <w:kern w:val="2"/>
        </w:rPr>
      </w:pPr>
      <w:r>
        <w:rPr>
          <w:rFonts w:hint="eastAsia"/>
          <w:kern w:val="2"/>
        </w:rPr>
        <w:t>结论</w:t>
      </w:r>
    </w:p>
    <w:p>
      <w:pPr>
        <w:pStyle w:val="3"/>
        <w:ind w:left="360" w:firstLine="0" w:firstLineChars="0"/>
        <w:rPr>
          <w:kern w:val="2"/>
          <w:szCs w:val="24"/>
          <w:lang w:val="en-US"/>
        </w:rPr>
      </w:pPr>
      <w:bookmarkStart w:id="29" w:name="工程名称5"/>
      <w:bookmarkEnd w:id="29"/>
      <w:bookmarkStart w:id="30" w:name="总结论"/>
      <w:r>
        <w:rPr>
          <w:rFonts w:hint="eastAsia"/>
          <w:kern w:val="2"/>
          <w:szCs w:val="24"/>
          <w:lang w:val="en-US"/>
        </w:rPr>
        <w:t>该建筑</w:t>
      </w:r>
      <w:r>
        <w:rPr>
          <w:rFonts w:hint="eastAsia"/>
        </w:rPr>
        <w:t>主要功能房间</w:t>
      </w:r>
      <w:bookmarkStart w:id="31" w:name="最小比例值"/>
      <w:r>
        <w:rPr>
          <w:rFonts w:hint="eastAsia"/>
          <w:kern w:val="2"/>
          <w:szCs w:val="24"/>
          <w:lang w:val="en-US"/>
        </w:rPr>
        <w:t>换气次数</w:t>
      </w:r>
      <w:bookmarkEnd w:id="31"/>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2" w:name="面积比2"/>
      <w:r>
        <w:rPr>
          <w:rFonts w:hint="eastAsia"/>
          <w:kern w:val="2"/>
          <w:szCs w:val="24"/>
          <w:lang w:val="en-US"/>
        </w:rPr>
        <w:t>88.82</w:t>
      </w:r>
      <w:bookmarkEnd w:id="32"/>
      <w:r>
        <w:rPr>
          <w:kern w:val="2"/>
          <w:szCs w:val="24"/>
          <w:lang w:val="en-US"/>
        </w:rPr>
        <w:t>%</w:t>
      </w:r>
      <w:r>
        <w:rPr>
          <w:rFonts w:hint="eastAsia"/>
          <w:kern w:val="2"/>
          <w:szCs w:val="24"/>
          <w:lang w:val="en-US"/>
        </w:rPr>
        <w:t>，</w:t>
      </w:r>
      <w:bookmarkEnd w:id="30"/>
      <w:r>
        <w:rPr>
          <w:rFonts w:hint="eastAsia"/>
          <w:kern w:val="2"/>
          <w:szCs w:val="24"/>
          <w:lang w:val="en-US"/>
        </w:rPr>
        <w:t>按照绿标5.2.10条款</w:t>
      </w:r>
      <w:r>
        <w:rPr>
          <w:kern w:val="2"/>
          <w:szCs w:val="24"/>
          <w:lang w:val="en-US"/>
        </w:rPr>
        <w:t>要求得</w:t>
      </w:r>
      <w:bookmarkStart w:id="33" w:name="得分"/>
      <w:r>
        <w:rPr>
          <w:rFonts w:hint="eastAsia"/>
          <w:kern w:val="2"/>
          <w:szCs w:val="24"/>
          <w:lang w:val="en-US"/>
        </w:rPr>
        <w:t>6</w:t>
      </w:r>
      <w:bookmarkEnd w:id="33"/>
      <w:r>
        <w:rPr>
          <w:rFonts w:hint="eastAsia"/>
          <w:kern w:val="2"/>
          <w:szCs w:val="24"/>
          <w:lang w:val="en-US"/>
        </w:rPr>
        <w:t>分。</w:t>
      </w:r>
    </w:p>
    <w:p>
      <w:pPr>
        <w:rPr>
          <w:lang w:val="en-US"/>
        </w:rPr>
      </w:pPr>
    </w:p>
    <w:p>
      <w:pPr>
        <w:rPr>
          <w:lang w:val="en-US"/>
        </w:rPr>
      </w:pPr>
    </w:p>
    <w:sectPr>
      <w:type w:val="continuous"/>
      <w:pgSz w:w="11906" w:h="16838"/>
      <w:pgMar w:top="1440" w:right="991"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741"/>
    <w:rsid w:val="00000C1C"/>
    <w:rsid w:val="00032830"/>
    <w:rsid w:val="00036F88"/>
    <w:rsid w:val="00063EF1"/>
    <w:rsid w:val="000A23A3"/>
    <w:rsid w:val="000B33ED"/>
    <w:rsid w:val="000C30C7"/>
    <w:rsid w:val="000C7D8C"/>
    <w:rsid w:val="0010146B"/>
    <w:rsid w:val="0014719B"/>
    <w:rsid w:val="00167687"/>
    <w:rsid w:val="001C3C21"/>
    <w:rsid w:val="001D7D45"/>
    <w:rsid w:val="001E25A9"/>
    <w:rsid w:val="002402D4"/>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9187B"/>
    <w:rsid w:val="00694BF6"/>
    <w:rsid w:val="006B226B"/>
    <w:rsid w:val="006D5658"/>
    <w:rsid w:val="007109AF"/>
    <w:rsid w:val="0071743A"/>
    <w:rsid w:val="00717EFF"/>
    <w:rsid w:val="00765741"/>
    <w:rsid w:val="00772B34"/>
    <w:rsid w:val="00927560"/>
    <w:rsid w:val="009409CF"/>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C1940"/>
    <w:rsid w:val="00DC1ED2"/>
    <w:rsid w:val="00E513D4"/>
    <w:rsid w:val="00F138C8"/>
    <w:rsid w:val="00F31AAA"/>
    <w:rsid w:val="00F7186B"/>
    <w:rsid w:val="00F74333"/>
    <w:rsid w:val="00FC1684"/>
    <w:rsid w:val="00FF70E7"/>
    <w:rsid w:val="5BBA2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uiPriority w:val="39"/>
    <w:pPr>
      <w:tabs>
        <w:tab w:val="left" w:leader="dot" w:pos="180"/>
        <w:tab w:val="left" w:pos="420"/>
        <w:tab w:val="right" w:leader="dot" w:pos="9360"/>
      </w:tabs>
    </w:pPr>
    <w:rPr>
      <w:b/>
      <w:bCs/>
      <w:kern w:val="2"/>
      <w:sz w:val="21"/>
      <w:szCs w:val="24"/>
      <w:lang w:val="en-US"/>
    </w:rPr>
  </w:style>
  <w:style w:type="table" w:styleId="17">
    <w:name w:val="Table Grid"/>
    <w:basedOn w:val="16"/>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uiPriority w:val="99"/>
    <w:rPr>
      <w:color w:val="0000FF"/>
      <w:u w:val="single"/>
    </w:rPr>
  </w:style>
  <w:style w:type="character" w:customStyle="1" w:styleId="20">
    <w:name w:val="标题 1 字符"/>
    <w:link w:val="2"/>
    <w:uiPriority w:val="0"/>
    <w:rPr>
      <w:rFonts w:ascii="Times New Roman" w:hAnsi="Times New Roman" w:eastAsia="宋体" w:cs="Times New Roman"/>
      <w:b/>
      <w:bCs/>
      <w:kern w:val="32"/>
      <w:sz w:val="28"/>
      <w:szCs w:val="28"/>
    </w:rPr>
  </w:style>
  <w:style w:type="character" w:customStyle="1" w:styleId="21">
    <w:name w:val="标题 2 字符"/>
    <w:link w:val="4"/>
    <w:uiPriority w:val="0"/>
    <w:rPr>
      <w:rFonts w:ascii="宋体" w:hAnsi="Times New Roman" w:eastAsia="宋体" w:cs="Arial"/>
      <w:b/>
      <w:bCs/>
      <w:iCs/>
      <w:color w:val="000000"/>
      <w:kern w:val="0"/>
      <w:sz w:val="24"/>
      <w:szCs w:val="24"/>
    </w:rPr>
  </w:style>
  <w:style w:type="character" w:customStyle="1" w:styleId="22">
    <w:name w:val="标题 3 字符"/>
    <w:link w:val="5"/>
    <w:uiPriority w:val="0"/>
    <w:rPr>
      <w:rFonts w:ascii="宋体" w:hAnsi="宋体" w:eastAsia="宋体" w:cs="Arial"/>
      <w:b/>
      <w:bCs/>
      <w:kern w:val="0"/>
      <w:szCs w:val="21"/>
    </w:rPr>
  </w:style>
  <w:style w:type="character" w:customStyle="1" w:styleId="23">
    <w:name w:val="标题 4 字符"/>
    <w:link w:val="6"/>
    <w:uiPriority w:val="0"/>
    <w:rPr>
      <w:rFonts w:ascii="Times New Roman" w:hAnsi="Times New Roman" w:eastAsia="宋体" w:cs="Times New Roman"/>
      <w:b/>
      <w:bCs/>
      <w:kern w:val="0"/>
      <w:szCs w:val="28"/>
      <w:lang w:val="en-GB"/>
    </w:rPr>
  </w:style>
  <w:style w:type="character" w:customStyle="1" w:styleId="24">
    <w:name w:val="标题 5 字符"/>
    <w:link w:val="7"/>
    <w:uiPriority w:val="0"/>
    <w:rPr>
      <w:rFonts w:ascii="Times New Roman" w:hAnsi="Times New Roman" w:eastAsia="宋体" w:cs="Times New Roman"/>
      <w:b/>
      <w:bCs/>
      <w:iCs/>
      <w:kern w:val="0"/>
      <w:szCs w:val="26"/>
      <w:lang w:val="en-GB"/>
    </w:rPr>
  </w:style>
  <w:style w:type="character" w:customStyle="1" w:styleId="25">
    <w:name w:val="标题 6 字符"/>
    <w:link w:val="8"/>
    <w:uiPriority w:val="0"/>
    <w:rPr>
      <w:rFonts w:ascii="Times New Roman" w:hAnsi="Times New Roman" w:eastAsia="宋体" w:cs="Times New Roman"/>
      <w:b/>
      <w:bCs/>
      <w:kern w:val="0"/>
      <w:lang w:val="en-GB"/>
    </w:rPr>
  </w:style>
  <w:style w:type="character" w:customStyle="1" w:styleId="26">
    <w:name w:val="标题 7 字符"/>
    <w:link w:val="9"/>
    <w:uiPriority w:val="0"/>
    <w:rPr>
      <w:rFonts w:ascii="Times New Roman" w:hAnsi="Times New Roman" w:eastAsia="宋体" w:cs="Times New Roman"/>
      <w:kern w:val="0"/>
      <w:sz w:val="24"/>
      <w:szCs w:val="24"/>
      <w:lang w:val="en-GB"/>
    </w:rPr>
  </w:style>
  <w:style w:type="character" w:customStyle="1" w:styleId="27">
    <w:name w:val="标题 8 字符"/>
    <w:link w:val="10"/>
    <w:uiPriority w:val="0"/>
    <w:rPr>
      <w:rFonts w:ascii="Times New Roman" w:hAnsi="Times New Roman" w:eastAsia="宋体" w:cs="Times New Roman"/>
      <w:i/>
      <w:iCs/>
      <w:kern w:val="0"/>
      <w:sz w:val="24"/>
      <w:szCs w:val="24"/>
      <w:lang w:val="en-GB"/>
    </w:rPr>
  </w:style>
  <w:style w:type="character" w:customStyle="1" w:styleId="28">
    <w:name w:val="标题 9 字符"/>
    <w:link w:val="11"/>
    <w:uiPriority w:val="0"/>
    <w:rPr>
      <w:rFonts w:ascii="Arial" w:hAnsi="Arial" w:eastAsia="宋体" w:cs="Arial"/>
      <w:kern w:val="0"/>
      <w:sz w:val="22"/>
      <w:lang w:val="en-GB"/>
    </w:rPr>
  </w:style>
  <w:style w:type="character" w:customStyle="1" w:styleId="29">
    <w:name w:val="页眉 字符"/>
    <w:link w:val="14"/>
    <w:uiPriority w:val="99"/>
    <w:rPr>
      <w:rFonts w:ascii="Times New Roman" w:hAnsi="Times New Roman" w:eastAsia="宋体" w:cs="Times New Roman"/>
      <w:kern w:val="0"/>
      <w:sz w:val="18"/>
      <w:szCs w:val="18"/>
      <w:lang w:val="en-GB"/>
    </w:rPr>
  </w:style>
  <w:style w:type="character" w:customStyle="1" w:styleId="30">
    <w:name w:val="页脚 字符"/>
    <w:link w:val="13"/>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semiHidden/>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1883\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5A3A32-7319-4FF5-A8DC-89F67E6060AE}">
  <ds:schemaRefs/>
</ds:datastoreItem>
</file>

<file path=docProps/app.xml><?xml version="1.0" encoding="utf-8"?>
<Properties xmlns="http://schemas.openxmlformats.org/officeDocument/2006/extended-properties" xmlns:vt="http://schemas.openxmlformats.org/officeDocument/2006/docPropsVTypes">
  <Template>tmp2.dotx</Template>
  <Company>Microsoft</Company>
  <Pages>4</Pages>
  <Words>338</Words>
  <Characters>1928</Characters>
  <Lines>16</Lines>
  <Paragraphs>4</Paragraphs>
  <TotalTime>1</TotalTime>
  <ScaleCrop>false</ScaleCrop>
  <LinksUpToDate>false</LinksUpToDate>
  <CharactersWithSpaces>2262</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2021-12-18T13:03:00Z</dcterms:created>
  <dc:creator>De_ Ran</dc:creator>
  <cp:lastModifiedBy>lenovo</cp:lastModifiedBy>
  <dcterms:modified xsi:type="dcterms:W3CDTF">2022-01-05T03:30:18Z</dcterms:modified>
  <dc:title>公共建筑换气次数计算书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