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r>
              <w:rPr>
                <w:rFonts w:hint="eastAsia" w:ascii="宋体" w:hAnsi="宋体"/>
                <w:szCs w:val="21"/>
              </w:rPr>
              <w:t>“隐喻再现”金长城遗址展览馆建筑设计</w:t>
            </w:r>
            <w:bookmarkStart w:id="70" w:name="_GoBack"/>
            <w:bookmark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0" w:name="设计编号"/>
            <w:bookmarkEnd w:id="0"/>
            <w:r>
              <w:rPr>
                <w:rFonts w:hint="eastAsia"/>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2" w:name="设计单位"/>
            <w:bookmarkEnd w:id="2"/>
            <w:r>
              <w:rPr>
                <w:rFonts w:hint="eastAsia"/>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3" w:name="审核人"/>
            <w:bookmarkEnd w:id="3"/>
            <w:r>
              <w:rPr>
                <w:rFonts w:hint="eastAsia"/>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4" w:name="审定人"/>
            <w:bookmarkEnd w:id="4"/>
            <w:r>
              <w:rPr>
                <w:rFonts w:hint="eastAsia"/>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5" w:name="计算日期"/>
            <w:r>
              <w:t>2021年12月24日</w:t>
            </w:r>
            <w:bookmarkEnd w:id="5"/>
          </w:p>
        </w:tc>
      </w:tr>
    </w:tbl>
    <w:p>
      <w:pPr>
        <w:rPr>
          <w:rFonts w:ascii="黑体" w:hAnsi="黑体" w:eastAsia="黑体"/>
          <w:bCs/>
          <w:sz w:val="28"/>
          <w:szCs w:val="28"/>
        </w:rPr>
      </w:pPr>
    </w:p>
    <w:p>
      <w:pPr>
        <w:rPr>
          <w:rFonts w:ascii="黑体" w:hAnsi="黑体" w:eastAsia="黑体"/>
          <w:b/>
          <w:bCs/>
          <w:sz w:val="30"/>
          <w:szCs w:val="32"/>
        </w:rPr>
      </w:pPr>
      <w:bookmarkStart w:id="6" w:name="二维码"/>
      <w:bookmarkEnd w:id="6"/>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7" w:name="采用软件"/>
            <w:r>
              <w:rPr>
                <w:rFonts w:hint="eastAsia"/>
              </w:rPr>
              <w:t>采光分析DALI2020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9" w:name="研发单位"/>
            <w:r>
              <w:rPr>
                <w:rFonts w:hint="eastAsia"/>
                <w:szCs w:val="18"/>
              </w:rP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0" w:name="正版授权码"/>
            <w:r>
              <w:t>T19846123180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1" w:name="项目地点"/>
            <w:r>
              <w:rPr>
                <w:rFonts w:hint="eastAsia"/>
                <w:lang w:val="en-US"/>
              </w:rPr>
              <w:t>齐齐哈尔</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2" w:name="光气候分区"/>
            <w:r>
              <w:rPr>
                <w:lang w:val="en-US"/>
              </w:rPr>
              <w:t>III</w:t>
            </w:r>
            <w:bookmarkEnd w:id="12"/>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3" w:name="光气候系数K"/>
            <w:r>
              <w:rPr>
                <w:lang w:val="en-US"/>
              </w:rPr>
              <w:t>1.00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4" w:name="地上建筑面积"/>
            <w:r>
              <w:rPr>
                <w:lang w:val="en-US"/>
              </w:rPr>
              <w:t>3495.82</w:t>
            </w:r>
            <w:bookmarkEnd w:id="14"/>
            <w:r>
              <w:rPr>
                <w:rFonts w:hint="eastAsia"/>
              </w:rPr>
              <w:t>㎡</w:t>
            </w:r>
            <w:r>
              <w:rPr>
                <w:rFonts w:hint="eastAsia"/>
                <w:lang w:val="en-US"/>
              </w:rPr>
              <w:t xml:space="preserve">    地下  </w:t>
            </w:r>
            <w:bookmarkStart w:id="15" w:name="地下建筑面积"/>
            <w:r>
              <w:rPr>
                <w:lang w:val="en-US"/>
              </w:rPr>
              <w:t>0.00</w:t>
            </w:r>
            <w:bookmarkEnd w:id="15"/>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6" w:name="地上建筑层数"/>
            <w:r>
              <w:rPr>
                <w:lang w:val="en-US"/>
              </w:rPr>
              <w:t>4</w:t>
            </w:r>
            <w:bookmarkEnd w:id="16"/>
            <w:r>
              <w:rPr>
                <w:rFonts w:hint="eastAsia"/>
                <w:lang w:val="en-US"/>
              </w:rPr>
              <w:t xml:space="preserve">          地下 </w:t>
            </w:r>
            <w:bookmarkStart w:id="17" w:name="地下建筑层数"/>
            <w:r>
              <w:rPr>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8" w:name="地上建筑高度"/>
            <w:r>
              <w:rPr>
                <w:lang w:val="en-US"/>
              </w:rPr>
              <w:t>21.60</w:t>
            </w:r>
            <w:bookmarkEnd w:id="18"/>
            <w:r>
              <w:rPr>
                <w:rFonts w:hint="eastAsia"/>
                <w:lang w:val="en-US"/>
              </w:rPr>
              <w:t xml:space="preserve"> m     地下  </w:t>
            </w:r>
            <w:bookmarkStart w:id="19" w:name="地下建筑高度"/>
            <w:r>
              <w:rPr>
                <w:lang w:val="en-US"/>
              </w:rPr>
              <w:t>0.00</w:t>
            </w:r>
            <w:bookmarkEnd w:id="19"/>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0" w:name="备注"/>
            <w:bookmarkEnd w:id="20"/>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1" w:name="采光标准"/>
      <w:r>
        <w:rPr>
          <w:lang w:val="en-US"/>
        </w:rPr>
        <w:t>GB50033-2013</w:t>
      </w:r>
      <w:bookmarkEnd w:id="21"/>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2" w:name="达标率评价要求"/>
      <w:r>
        <w:t>60%</w:t>
      </w:r>
      <w:bookmarkEnd w:id="22"/>
      <w:r>
        <w:t xml:space="preserve">, </w:t>
      </w:r>
      <w:r>
        <w:rPr>
          <w:rFonts w:hint="eastAsia"/>
        </w:rPr>
        <w:t>得</w:t>
      </w:r>
      <w:bookmarkStart w:id="23" w:name="达标率评价分值"/>
      <w:r>
        <w:t>3</w:t>
      </w:r>
      <w:bookmarkEnd w:id="23"/>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4" w:name="_Toc264043625"/>
      <w:bookmarkStart w:id="25" w:name="_Toc264569232"/>
      <w:bookmarkStart w:id="26" w:name="_Toc275165382"/>
      <w:bookmarkStart w:id="27" w:name="_Toc290209312"/>
      <w:bookmarkStart w:id="28" w:name="_Toc290209336"/>
      <w:bookmarkStart w:id="29" w:name="_Toc290149054"/>
      <w:bookmarkStart w:id="30" w:name="_Toc312399791"/>
      <w:r>
        <w:rPr>
          <w:rFonts w:hint="eastAsia"/>
        </w:rPr>
        <w:t>采光分析</w:t>
      </w:r>
      <w:r>
        <w:t>概述</w:t>
      </w:r>
      <w:bookmarkEnd w:id="24"/>
      <w:bookmarkEnd w:id="25"/>
      <w:bookmarkEnd w:id="26"/>
      <w:bookmarkEnd w:id="27"/>
      <w:bookmarkEnd w:id="28"/>
      <w:bookmarkEnd w:id="29"/>
      <w:bookmarkEnd w:id="30"/>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8204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2040" cy="44958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1" w:name="_Toc264043630"/>
      <w:bookmarkStart w:id="32" w:name="_Toc290209317"/>
      <w:bookmarkStart w:id="33" w:name="_Toc290209341"/>
      <w:bookmarkStart w:id="34" w:name="_Toc264569237"/>
      <w:bookmarkStart w:id="35" w:name="_Toc290149059"/>
      <w:bookmarkStart w:id="36" w:name="_Toc275165387"/>
      <w:bookmarkStart w:id="37" w:name="_Toc312399796"/>
      <w:r>
        <w:t>分析软件</w:t>
      </w:r>
      <w:bookmarkEnd w:id="31"/>
      <w:bookmarkEnd w:id="32"/>
      <w:bookmarkEnd w:id="33"/>
      <w:bookmarkEnd w:id="34"/>
      <w:bookmarkEnd w:id="35"/>
      <w:bookmarkEnd w:id="36"/>
      <w:bookmarkEnd w:id="37"/>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8" w:name="_Toc264043629"/>
      <w:bookmarkStart w:id="39" w:name="_Toc290209340"/>
      <w:bookmarkStart w:id="40" w:name="_Toc290209316"/>
      <w:bookmarkStart w:id="41" w:name="_Toc275165386"/>
      <w:bookmarkStart w:id="42" w:name="_Toc264569236"/>
      <w:bookmarkStart w:id="43" w:name="_Toc312399795"/>
      <w:bookmarkStart w:id="44" w:name="_Toc290149058"/>
      <w:r>
        <w:t>模拟</w:t>
      </w:r>
      <w:bookmarkEnd w:id="38"/>
      <w:bookmarkEnd w:id="39"/>
      <w:bookmarkEnd w:id="40"/>
      <w:bookmarkEnd w:id="41"/>
      <w:bookmarkEnd w:id="42"/>
      <w:bookmarkEnd w:id="43"/>
      <w:bookmarkEnd w:id="44"/>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5" w:name="分析面高"/>
      <w:r>
        <w:t>0.75</w:t>
      </w:r>
      <w:bookmarkEnd w:id="45"/>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6" w:name="网格划分小房间面积"/>
            <w:r>
              <w:rPr>
                <w:szCs w:val="18"/>
              </w:rPr>
              <w:t>10</w:t>
            </w:r>
            <w:bookmarkEnd w:id="46"/>
          </w:p>
        </w:tc>
        <w:tc>
          <w:tcPr>
            <w:tcW w:w="3272" w:type="dxa"/>
            <w:shd w:val="clear" w:color="auto" w:fill="auto"/>
            <w:vAlign w:val="center"/>
          </w:tcPr>
          <w:p>
            <w:pPr>
              <w:rPr>
                <w:szCs w:val="18"/>
              </w:rPr>
            </w:pPr>
            <w:bookmarkStart w:id="47" w:name="小房间网格大小"/>
            <w:r>
              <w:rPr>
                <w:szCs w:val="18"/>
              </w:rPr>
              <w:t>0.25</w:t>
            </w:r>
            <w:bookmarkEnd w:id="4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8" w:name="网格划分房间面积"/>
            <w:r>
              <w:rPr>
                <w:szCs w:val="18"/>
              </w:rPr>
              <w:t>10~100</w:t>
            </w:r>
            <w:bookmarkEnd w:id="48"/>
          </w:p>
        </w:tc>
        <w:tc>
          <w:tcPr>
            <w:tcW w:w="3272" w:type="dxa"/>
            <w:shd w:val="clear" w:color="auto" w:fill="auto"/>
            <w:vAlign w:val="center"/>
          </w:tcPr>
          <w:p>
            <w:pPr>
              <w:rPr>
                <w:szCs w:val="18"/>
              </w:rPr>
            </w:pPr>
            <w:bookmarkStart w:id="49" w:name="网格大小"/>
            <w:r>
              <w:rPr>
                <w:szCs w:val="18"/>
              </w:rPr>
              <w:t>0.50</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0" w:name="网格划分大房间面积"/>
            <w:r>
              <w:rPr>
                <w:szCs w:val="18"/>
              </w:rPr>
              <w:t>100</w:t>
            </w:r>
            <w:bookmarkEnd w:id="50"/>
          </w:p>
        </w:tc>
        <w:tc>
          <w:tcPr>
            <w:tcW w:w="3272" w:type="dxa"/>
            <w:shd w:val="clear" w:color="auto" w:fill="auto"/>
            <w:vAlign w:val="center"/>
          </w:tcPr>
          <w:p>
            <w:pPr>
              <w:rPr>
                <w:szCs w:val="18"/>
              </w:rPr>
            </w:pPr>
            <w:bookmarkStart w:id="51" w:name="大房间网格大小"/>
            <w:r>
              <w:rPr>
                <w:szCs w:val="18"/>
              </w:rPr>
              <w:t>1.00</w:t>
            </w:r>
            <w:bookmarkEnd w:id="51"/>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2" w:name="顶棚反射比"/>
            <w:r>
              <w:t>0.75</w:t>
            </w:r>
            <w:bookmarkEnd w:id="52"/>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3" w:name="地面反射比"/>
            <w:r>
              <w:t>0.30</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4" w:name="墙面反射比"/>
            <w:r>
              <w:t>0.60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5" w:name="外表面反射比"/>
            <w:r>
              <w:t>0.50</w:t>
            </w:r>
            <w:bookmarkEnd w:id="55"/>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6" w:name="_Toc422822724"/>
      <w:r>
        <w:rPr>
          <w:rFonts w:hint="eastAsia"/>
        </w:rPr>
        <w:t>门窗类型参数</w:t>
      </w:r>
      <w:bookmarkEnd w:id="56"/>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7" w:name="窗"/>
      <w:r>
        <w:t>普通</w:t>
      </w:r>
      <w:r>
        <w:rPr>
          <w:rFonts w:hint="eastAsia"/>
        </w:rPr>
        <w:t>窗</w:t>
      </w:r>
    </w:p>
    <w:bookmarkEnd w:id="57"/>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C1513</w:t>
            </w:r>
          </w:p>
        </w:tc>
        <w:tc>
          <w:tcPr>
            <w:tcW w:w="1245" w:type="dxa"/>
            <w:vAlign w:val="center"/>
          </w:tcPr>
          <w:p>
            <w:r>
              <w:t>1500</w:t>
            </w:r>
          </w:p>
        </w:tc>
        <w:tc>
          <w:tcPr>
            <w:tcW w:w="1245" w:type="dxa"/>
            <w:vAlign w:val="center"/>
          </w:tcPr>
          <w:p>
            <w:r>
              <w:t>1300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1500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C1521</w:t>
            </w:r>
          </w:p>
        </w:tc>
        <w:tc>
          <w:tcPr>
            <w:tcW w:w="1245" w:type="dxa"/>
            <w:vAlign w:val="center"/>
          </w:tcPr>
          <w:p>
            <w:r>
              <w:t>1500</w:t>
            </w:r>
          </w:p>
        </w:tc>
        <w:tc>
          <w:tcPr>
            <w:tcW w:w="1245" w:type="dxa"/>
            <w:vAlign w:val="center"/>
          </w:tcPr>
          <w:p>
            <w:r>
              <w:t>2100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C1524</w:t>
            </w:r>
          </w:p>
        </w:tc>
        <w:tc>
          <w:tcPr>
            <w:tcW w:w="1245" w:type="dxa"/>
            <w:vAlign w:val="center"/>
          </w:tcPr>
          <w:p>
            <w:r>
              <w:t>1500</w:t>
            </w:r>
          </w:p>
        </w:tc>
        <w:tc>
          <w:tcPr>
            <w:tcW w:w="1245" w:type="dxa"/>
            <w:vAlign w:val="center"/>
          </w:tcPr>
          <w:p>
            <w:r>
              <w:t>2400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C1824</w:t>
            </w:r>
          </w:p>
        </w:tc>
        <w:tc>
          <w:tcPr>
            <w:tcW w:w="1245" w:type="dxa"/>
            <w:vAlign w:val="center"/>
          </w:tcPr>
          <w:p>
            <w:r>
              <w:t>1800</w:t>
            </w:r>
          </w:p>
        </w:tc>
        <w:tc>
          <w:tcPr>
            <w:tcW w:w="1245" w:type="dxa"/>
            <w:vAlign w:val="center"/>
          </w:tcPr>
          <w:p>
            <w:r>
              <w:t>2400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C2424</w:t>
            </w:r>
          </w:p>
        </w:tc>
        <w:tc>
          <w:tcPr>
            <w:tcW w:w="1245" w:type="dxa"/>
            <w:vAlign w:val="center"/>
          </w:tcPr>
          <w:p>
            <w:r>
              <w:t>2400</w:t>
            </w:r>
          </w:p>
        </w:tc>
        <w:tc>
          <w:tcPr>
            <w:tcW w:w="1245" w:type="dxa"/>
            <w:vAlign w:val="center"/>
          </w:tcPr>
          <w:p>
            <w:r>
              <w:t>2400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C3212</w:t>
            </w:r>
          </w:p>
        </w:tc>
        <w:tc>
          <w:tcPr>
            <w:tcW w:w="1245" w:type="dxa"/>
            <w:vAlign w:val="center"/>
          </w:tcPr>
          <w:p>
            <w:r>
              <w:t>3245</w:t>
            </w:r>
          </w:p>
        </w:tc>
        <w:tc>
          <w:tcPr>
            <w:tcW w:w="1245" w:type="dxa"/>
            <w:vAlign w:val="center"/>
          </w:tcPr>
          <w:p>
            <w:r>
              <w:t>1200</w:t>
            </w:r>
          </w:p>
        </w:tc>
        <w:tc>
          <w:tcPr>
            <w:tcW w:w="1301" w:type="dxa"/>
            <w:vAlign w:val="center"/>
          </w:tcPr>
          <w:p>
            <w:r>
              <w:t>双层铝窗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8" w:name="_Toc422822726"/>
      <w:bookmarkStart w:id="59" w:name="幕墙"/>
      <w:r>
        <w:rPr>
          <w:rFonts w:hint="eastAsia"/>
        </w:rPr>
        <w:t>玻璃幕墙</w:t>
      </w:r>
      <w:bookmarkEnd w:id="58"/>
    </w:p>
    <w:bookmarkEnd w:id="5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4390</w:t>
            </w:r>
          </w:p>
        </w:tc>
        <w:tc>
          <w:tcPr>
            <w:tcW w:w="1245" w:type="dxa"/>
            <w:vAlign w:val="center"/>
          </w:tcPr>
          <w:p>
            <w:r>
              <w:t>5400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60" w:name="窗污染折减系数"/>
      <w:bookmarkEnd w:id="60"/>
    </w:p>
    <w:p>
      <w:pPr>
        <w:pStyle w:val="2"/>
      </w:pPr>
      <w:bookmarkStart w:id="61" w:name="_Toc422822729"/>
      <w:r>
        <w:rPr>
          <w:rFonts w:hint="eastAsia"/>
        </w:rPr>
        <w:t>分析统计结果</w:t>
      </w:r>
      <w:bookmarkEnd w:id="61"/>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1018</w:t>
            </w:r>
          </w:p>
        </w:tc>
        <w:tc>
          <w:tcPr>
            <w:tcW w:w="1075" w:type="dxa"/>
            <w:gridSpan w:val="2"/>
            <w:vAlign w:val="center"/>
          </w:tcPr>
          <w:p>
            <w:r>
              <w:t>会议室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103.60</w:t>
            </w:r>
          </w:p>
        </w:tc>
        <w:tc>
          <w:tcPr>
            <w:tcW w:w="1075" w:type="dxa"/>
            <w:gridSpan w:val="2"/>
            <w:vAlign w:val="center"/>
          </w:tcPr>
          <w:p>
            <w:r>
              <w:t>103.60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1019</w:t>
            </w:r>
          </w:p>
        </w:tc>
        <w:tc>
          <w:tcPr>
            <w:tcW w:w="1075" w:type="dxa"/>
            <w:gridSpan w:val="2"/>
            <w:vAlign w:val="center"/>
          </w:tcPr>
          <w:p>
            <w:r>
              <w:t>报告厅</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115.74</w:t>
            </w:r>
          </w:p>
        </w:tc>
        <w:tc>
          <w:tcPr>
            <w:tcW w:w="1075" w:type="dxa"/>
            <w:gridSpan w:val="2"/>
            <w:vAlign w:val="center"/>
          </w:tcPr>
          <w:p>
            <w:r>
              <w:t>115.74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2001</w:t>
            </w:r>
          </w:p>
        </w:tc>
        <w:tc>
          <w:tcPr>
            <w:tcW w:w="1075" w:type="dxa"/>
            <w:gridSpan w:val="2"/>
            <w:vAlign w:val="center"/>
          </w:tcPr>
          <w:p>
            <w:r>
              <w:t>展厅</w:t>
            </w:r>
          </w:p>
        </w:tc>
        <w:tc>
          <w:tcPr>
            <w:tcW w:w="848" w:type="dxa"/>
            <w:gridSpan w:val="2"/>
            <w:vAlign w:val="center"/>
          </w:tcPr>
          <w:p>
            <w:r>
              <w:t>IV</w:t>
            </w:r>
          </w:p>
        </w:tc>
        <w:tc>
          <w:tcPr>
            <w:tcW w:w="848" w:type="dxa"/>
            <w:vAlign w:val="center"/>
          </w:tcPr>
          <w:p>
            <w:r>
              <w:t>顶部</w:t>
            </w:r>
          </w:p>
        </w:tc>
        <w:tc>
          <w:tcPr>
            <w:tcW w:w="1131" w:type="dxa"/>
            <w:gridSpan w:val="2"/>
            <w:vAlign w:val="center"/>
          </w:tcPr>
          <w:p>
            <w:r>
              <w:t>1.00</w:t>
            </w:r>
          </w:p>
        </w:tc>
        <w:tc>
          <w:tcPr>
            <w:tcW w:w="1075" w:type="dxa"/>
            <w:gridSpan w:val="2"/>
            <w:vAlign w:val="center"/>
          </w:tcPr>
          <w:p>
            <w:r>
              <w:t>201.28</w:t>
            </w:r>
          </w:p>
        </w:tc>
        <w:tc>
          <w:tcPr>
            <w:tcW w:w="1075" w:type="dxa"/>
            <w:gridSpan w:val="2"/>
            <w:vAlign w:val="center"/>
          </w:tcPr>
          <w:p>
            <w:r>
              <w:t>201.28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2002</w:t>
            </w:r>
          </w:p>
        </w:tc>
        <w:tc>
          <w:tcPr>
            <w:tcW w:w="1075" w:type="dxa"/>
            <w:gridSpan w:val="2"/>
            <w:vAlign w:val="center"/>
          </w:tcPr>
          <w:p>
            <w:r>
              <w:t>展厅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115.74</w:t>
            </w:r>
          </w:p>
        </w:tc>
        <w:tc>
          <w:tcPr>
            <w:tcW w:w="1075" w:type="dxa"/>
            <w:gridSpan w:val="2"/>
            <w:vAlign w:val="center"/>
          </w:tcPr>
          <w:p>
            <w:r>
              <w:t>115.74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2008</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1.81</w:t>
            </w:r>
          </w:p>
        </w:tc>
        <w:tc>
          <w:tcPr>
            <w:tcW w:w="1075" w:type="dxa"/>
            <w:gridSpan w:val="2"/>
            <w:vAlign w:val="center"/>
          </w:tcPr>
          <w:p>
            <w:r>
              <w:t>1.81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2016</w:t>
            </w:r>
          </w:p>
        </w:tc>
        <w:tc>
          <w:tcPr>
            <w:tcW w:w="1075" w:type="dxa"/>
            <w:gridSpan w:val="2"/>
            <w:vAlign w:val="center"/>
          </w:tcPr>
          <w:p>
            <w:r>
              <w:t>文物修复室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1.81</w:t>
            </w:r>
          </w:p>
        </w:tc>
        <w:tc>
          <w:tcPr>
            <w:tcW w:w="1075" w:type="dxa"/>
            <w:gridSpan w:val="2"/>
            <w:vAlign w:val="center"/>
          </w:tcPr>
          <w:p>
            <w:r>
              <w:t>1.81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103" w:type="dxa"/>
            <w:gridSpan w:val="2"/>
            <w:vAlign w:val="center"/>
          </w:tcPr>
          <w:p>
            <w:r>
              <w:t>3001</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1.81</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3004</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1.81</w:t>
            </w:r>
          </w:p>
        </w:tc>
        <w:tc>
          <w:tcPr>
            <w:tcW w:w="1075" w:type="dxa"/>
            <w:gridSpan w:val="2"/>
            <w:vAlign w:val="center"/>
          </w:tcPr>
          <w:p>
            <w:r>
              <w:t>1.81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3014</w:t>
            </w:r>
          </w:p>
        </w:tc>
        <w:tc>
          <w:tcPr>
            <w:tcW w:w="1075" w:type="dxa"/>
            <w:gridSpan w:val="2"/>
            <w:vAlign w:val="center"/>
          </w:tcPr>
          <w:p>
            <w:r>
              <w:t>展厅</w:t>
            </w:r>
          </w:p>
        </w:tc>
        <w:tc>
          <w:tcPr>
            <w:tcW w:w="848" w:type="dxa"/>
            <w:gridSpan w:val="2"/>
            <w:vAlign w:val="center"/>
          </w:tcPr>
          <w:p>
            <w:r>
              <w:t>IV</w:t>
            </w:r>
          </w:p>
        </w:tc>
        <w:tc>
          <w:tcPr>
            <w:tcW w:w="848" w:type="dxa"/>
            <w:vAlign w:val="center"/>
          </w:tcPr>
          <w:p>
            <w:r>
              <w:t>顶部</w:t>
            </w:r>
          </w:p>
        </w:tc>
        <w:tc>
          <w:tcPr>
            <w:tcW w:w="1131" w:type="dxa"/>
            <w:gridSpan w:val="2"/>
            <w:vAlign w:val="center"/>
          </w:tcPr>
          <w:p>
            <w:r>
              <w:t>1.00</w:t>
            </w:r>
          </w:p>
        </w:tc>
        <w:tc>
          <w:tcPr>
            <w:tcW w:w="1075" w:type="dxa"/>
            <w:gridSpan w:val="2"/>
            <w:vAlign w:val="center"/>
          </w:tcPr>
          <w:p>
            <w:r>
              <w:t>227.92</w:t>
            </w:r>
          </w:p>
        </w:tc>
        <w:tc>
          <w:tcPr>
            <w:tcW w:w="1075" w:type="dxa"/>
            <w:gridSpan w:val="2"/>
            <w:vAlign w:val="center"/>
          </w:tcPr>
          <w:p>
            <w:r>
              <w:t>227.92</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3015</w:t>
            </w:r>
          </w:p>
        </w:tc>
        <w:tc>
          <w:tcPr>
            <w:tcW w:w="1075" w:type="dxa"/>
            <w:gridSpan w:val="2"/>
            <w:vAlign w:val="center"/>
          </w:tcPr>
          <w:p>
            <w:r>
              <w:t>展厅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115.74</w:t>
            </w:r>
          </w:p>
        </w:tc>
        <w:tc>
          <w:tcPr>
            <w:tcW w:w="1075" w:type="dxa"/>
            <w:gridSpan w:val="2"/>
            <w:vAlign w:val="center"/>
          </w:tcPr>
          <w:p>
            <w:r>
              <w:t>115.74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会议室</w:t>
            </w:r>
          </w:p>
        </w:tc>
        <w:tc>
          <w:tcPr>
            <w:tcW w:w="1301" w:type="dxa"/>
            <w:gridSpan w:val="2"/>
            <w:vAlign w:val="center"/>
          </w:tcPr>
          <w:p>
            <w:r>
              <w:t>顶部</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103.60</w:t>
            </w:r>
          </w:p>
        </w:tc>
        <w:tc>
          <w:tcPr>
            <w:tcW w:w="1245" w:type="dxa"/>
            <w:gridSpan w:val="2"/>
            <w:vAlign w:val="center"/>
          </w:tcPr>
          <w:p>
            <w:r>
              <w:t>103.60</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报告厅</w:t>
            </w:r>
          </w:p>
        </w:tc>
        <w:tc>
          <w:tcPr>
            <w:tcW w:w="1301" w:type="dxa"/>
            <w:gridSpan w:val="2"/>
            <w:vAlign w:val="center"/>
          </w:tcPr>
          <w:p>
            <w:r>
              <w:t>混合</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115.74</w:t>
            </w:r>
          </w:p>
        </w:tc>
        <w:tc>
          <w:tcPr>
            <w:tcW w:w="1245" w:type="dxa"/>
            <w:gridSpan w:val="2"/>
            <w:vAlign w:val="center"/>
          </w:tcPr>
          <w:p>
            <w:r>
              <w:t>115.74</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展厅</w:t>
            </w:r>
          </w:p>
        </w:tc>
        <w:tc>
          <w:tcPr>
            <w:tcW w:w="1301" w:type="dxa"/>
            <w:gridSpan w:val="2"/>
            <w:vAlign w:val="center"/>
          </w:tcPr>
          <w:p>
            <w:r>
              <w:t>顶部</w:t>
            </w:r>
          </w:p>
        </w:tc>
        <w:tc>
          <w:tcPr>
            <w:tcW w:w="1358" w:type="dxa"/>
            <w:gridSpan w:val="2"/>
            <w:vAlign w:val="center"/>
          </w:tcPr>
          <w:p>
            <w:r>
              <w:t>1.00</w:t>
            </w:r>
          </w:p>
        </w:tc>
        <w:tc>
          <w:tcPr>
            <w:tcW w:w="1443" w:type="dxa"/>
            <w:gridSpan w:val="3"/>
            <w:vAlign w:val="center"/>
          </w:tcPr>
          <w:p>
            <w:r>
              <w:t>150</w:t>
            </w:r>
          </w:p>
        </w:tc>
        <w:tc>
          <w:tcPr>
            <w:tcW w:w="1245" w:type="dxa"/>
            <w:gridSpan w:val="2"/>
            <w:vAlign w:val="center"/>
          </w:tcPr>
          <w:p>
            <w:r>
              <w:t>429.20</w:t>
            </w:r>
          </w:p>
        </w:tc>
        <w:tc>
          <w:tcPr>
            <w:tcW w:w="1245" w:type="dxa"/>
            <w:gridSpan w:val="2"/>
            <w:vAlign w:val="center"/>
          </w:tcPr>
          <w:p>
            <w:r>
              <w:t>429.20</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展厅</w:t>
            </w:r>
          </w:p>
        </w:tc>
        <w:tc>
          <w:tcPr>
            <w:tcW w:w="1301" w:type="dxa"/>
            <w:gridSpan w:val="2"/>
            <w:vAlign w:val="center"/>
          </w:tcPr>
          <w:p>
            <w:r>
              <w:t>混合</w:t>
            </w:r>
          </w:p>
        </w:tc>
        <w:tc>
          <w:tcPr>
            <w:tcW w:w="1358" w:type="dxa"/>
            <w:gridSpan w:val="2"/>
            <w:vAlign w:val="center"/>
          </w:tcPr>
          <w:p>
            <w:r>
              <w:t>1.00</w:t>
            </w:r>
          </w:p>
        </w:tc>
        <w:tc>
          <w:tcPr>
            <w:tcW w:w="1443" w:type="dxa"/>
            <w:gridSpan w:val="3"/>
            <w:vAlign w:val="center"/>
          </w:tcPr>
          <w:p>
            <w:r>
              <w:t>－</w:t>
            </w:r>
          </w:p>
        </w:tc>
        <w:tc>
          <w:tcPr>
            <w:tcW w:w="1245" w:type="dxa"/>
            <w:gridSpan w:val="2"/>
            <w:vAlign w:val="center"/>
          </w:tcPr>
          <w:p>
            <w:r>
              <w:t>231.47</w:t>
            </w:r>
          </w:p>
        </w:tc>
        <w:tc>
          <w:tcPr>
            <w:tcW w:w="1245" w:type="dxa"/>
            <w:gridSpan w:val="2"/>
            <w:vAlign w:val="center"/>
          </w:tcPr>
          <w:p>
            <w:r>
              <w:t>231.47</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混合</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5.42</w:t>
            </w:r>
          </w:p>
        </w:tc>
        <w:tc>
          <w:tcPr>
            <w:tcW w:w="1245" w:type="dxa"/>
            <w:gridSpan w:val="2"/>
            <w:vAlign w:val="center"/>
          </w:tcPr>
          <w:p>
            <w:r>
              <w:t>3.61</w:t>
            </w:r>
          </w:p>
        </w:tc>
        <w:tc>
          <w:tcPr>
            <w:tcW w:w="1245" w:type="dxa"/>
            <w:gridSpan w:val="2"/>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文物修复室</w:t>
            </w:r>
          </w:p>
        </w:tc>
        <w:tc>
          <w:tcPr>
            <w:tcW w:w="1301" w:type="dxa"/>
            <w:gridSpan w:val="2"/>
            <w:vAlign w:val="center"/>
          </w:tcPr>
          <w:p>
            <w:r>
              <w:t>混合</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1.81</w:t>
            </w:r>
          </w:p>
        </w:tc>
        <w:tc>
          <w:tcPr>
            <w:tcW w:w="1245" w:type="dxa"/>
            <w:gridSpan w:val="2"/>
            <w:vAlign w:val="center"/>
          </w:tcPr>
          <w:p>
            <w:r>
              <w:t>1.81</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100</w:t>
            </w:r>
          </w:p>
        </w:tc>
      </w:tr>
    </w:tbl>
    <w:p>
      <w:pPr>
        <w:rPr>
          <w:lang w:val="en-US"/>
        </w:rPr>
      </w:pPr>
      <w:bookmarkStart w:id="62" w:name="达标率表格"/>
      <w:bookmarkEnd w:id="62"/>
    </w:p>
    <w:p>
      <w:pPr>
        <w:pStyle w:val="2"/>
      </w:pPr>
      <w:bookmarkStart w:id="63" w:name="_Toc422822730"/>
      <w:r>
        <w:rPr>
          <w:rFonts w:hint="eastAsia"/>
        </w:rPr>
        <w:t>达标率彩图</w:t>
      </w:r>
      <w:bookmarkEnd w:id="63"/>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4" w:name="达标图"/>
      <w:bookmarkEnd w:id="64"/>
    </w:p>
    <w:p>
      <w:pPr>
        <w:rPr>
          <w:sz w:val="18"/>
          <w:lang w:val="en-US"/>
        </w:rPr>
      </w:pPr>
    </w:p>
    <w:p>
      <w:pPr>
        <w:rPr>
          <w:sz w:val="18"/>
          <w:lang w:val="en-US"/>
        </w:rPr>
      </w:pPr>
      <w:r>
        <w:rPr>
          <w:sz w:val="18"/>
          <w:lang w:val="en-US"/>
        </w:rPr>
        <w:t>1层</w:t>
      </w:r>
      <w:r>
        <w:drawing>
          <wp:inline distT="0" distB="0" distL="0" distR="0">
            <wp:extent cx="5667375" cy="39243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3924300"/>
                    </a:xfrm>
                    <a:prstGeom prst="rect">
                      <a:avLst/>
                    </a:prstGeom>
                  </pic:spPr>
                </pic:pic>
              </a:graphicData>
            </a:graphic>
          </wp:inline>
        </w:drawing>
      </w:r>
    </w:p>
    <w:p>
      <w:pPr>
        <w:rPr>
          <w:sz w:val="18"/>
          <w:lang w:val="en-US"/>
        </w:rPr>
      </w:pPr>
      <w:r>
        <w:drawing>
          <wp:inline distT="0" distB="0" distL="0" distR="0">
            <wp:extent cx="5667375" cy="39433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3943350"/>
                    </a:xfrm>
                    <a:prstGeom prst="rect">
                      <a:avLst/>
                    </a:prstGeom>
                  </pic:spPr>
                </pic:pic>
              </a:graphicData>
            </a:graphic>
          </wp:inline>
        </w:drawing>
      </w:r>
    </w:p>
    <w:p>
      <w:pPr>
        <w:rPr>
          <w:sz w:val="18"/>
          <w:lang w:val="en-US"/>
        </w:rPr>
      </w:pPr>
      <w:r>
        <w:rPr>
          <w:sz w:val="18"/>
          <w:lang w:val="en-US"/>
        </w:rPr>
        <w:t>2层</w:t>
      </w:r>
    </w:p>
    <w:p>
      <w:pPr>
        <w:rPr>
          <w:sz w:val="18"/>
          <w:lang w:val="en-US"/>
        </w:rPr>
      </w:pPr>
      <w:r>
        <w:drawing>
          <wp:inline distT="0" distB="0" distL="0" distR="0">
            <wp:extent cx="5667375" cy="39433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5667375" cy="3943350"/>
                    </a:xfrm>
                    <a:prstGeom prst="rect">
                      <a:avLst/>
                    </a:prstGeom>
                  </pic:spPr>
                </pic:pic>
              </a:graphicData>
            </a:graphic>
          </wp:inline>
        </w:drawing>
      </w:r>
    </w:p>
    <w:p>
      <w:pPr>
        <w:rPr>
          <w:sz w:val="18"/>
          <w:lang w:val="en-US"/>
        </w:rPr>
      </w:pPr>
      <w:r>
        <w:rPr>
          <w:sz w:val="18"/>
          <w:lang w:val="en-US"/>
        </w:rPr>
        <w:t>3层</w:t>
      </w:r>
    </w:p>
    <w:p>
      <w:pPr>
        <w:rPr>
          <w:sz w:val="18"/>
          <w:lang w:val="en-US"/>
        </w:rPr>
      </w:pPr>
    </w:p>
    <w:p>
      <w:pPr>
        <w:pStyle w:val="2"/>
      </w:pPr>
      <w:bookmarkStart w:id="65" w:name="_Toc422822731"/>
      <w:r>
        <w:rPr>
          <w:rFonts w:hint="eastAsia"/>
        </w:rPr>
        <w:t>评价结论</w:t>
      </w:r>
      <w:bookmarkEnd w:id="65"/>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6" w:name="采光面积"/>
            <w:r>
              <w:rPr>
                <w:rFonts w:hint="eastAsia"/>
              </w:rPr>
              <w:t>887.23</w:t>
            </w:r>
            <w:bookmarkEnd w:id="66"/>
          </w:p>
        </w:tc>
        <w:tc>
          <w:tcPr>
            <w:tcW w:w="3420" w:type="dxa"/>
            <w:vAlign w:val="center"/>
          </w:tcPr>
          <w:p>
            <w:bookmarkStart w:id="67" w:name="达标面积"/>
            <w:r>
              <w:rPr>
                <w:rFonts w:hint="eastAsia"/>
              </w:rPr>
              <w:t>885.43</w:t>
            </w:r>
            <w:bookmarkEnd w:id="67"/>
          </w:p>
        </w:tc>
        <w:tc>
          <w:tcPr>
            <w:tcW w:w="1980" w:type="dxa"/>
            <w:vAlign w:val="center"/>
          </w:tcPr>
          <w:p>
            <w:bookmarkStart w:id="68" w:name="达标率"/>
            <w:r>
              <w:rPr>
                <w:rFonts w:hint="eastAsia"/>
              </w:rPr>
              <w:t>100</w:t>
            </w:r>
            <w:bookmarkEnd w:id="68"/>
          </w:p>
        </w:tc>
        <w:tc>
          <w:tcPr>
            <w:tcW w:w="1260" w:type="dxa"/>
            <w:vAlign w:val="center"/>
          </w:tcPr>
          <w:p>
            <w:bookmarkStart w:id="69" w:name="达标率得分"/>
            <w:r>
              <w:rPr>
                <w:rFonts w:hint="eastAsia"/>
              </w:rPr>
              <w:t>3</w:t>
            </w:r>
            <w:bookmarkEnd w:id="69"/>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8240"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9F"/>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E18E5"/>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4769F"/>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A122F"/>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C19"/>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4E2B"/>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6209D"/>
    <w:rsid w:val="00F75DD1"/>
    <w:rsid w:val="00F959AF"/>
    <w:rsid w:val="00F972A6"/>
    <w:rsid w:val="00FA4B87"/>
    <w:rsid w:val="00FA6B1C"/>
    <w:rsid w:val="00FB7900"/>
    <w:rsid w:val="00FC0C11"/>
    <w:rsid w:val="00FF14DB"/>
    <w:rsid w:val="00FF2243"/>
    <w:rsid w:val="00FF259D"/>
    <w:rsid w:val="1D93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883\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5877F-A889-47D4-A61E-B6F080BDA092}">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9</Pages>
  <Words>645</Words>
  <Characters>3677</Characters>
  <Lines>30</Lines>
  <Paragraphs>8</Paragraphs>
  <TotalTime>0</TotalTime>
  <ScaleCrop>false</ScaleCrop>
  <LinksUpToDate>false</LinksUpToDate>
  <CharactersWithSpaces>4314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2021-12-24T01:35:00Z</dcterms:created>
  <dc:creator>De_ Ran</dc:creator>
  <cp:lastModifiedBy>lenovo</cp:lastModifiedBy>
  <cp:lastPrinted>2021-12-28T16:09:00Z</cp:lastPrinted>
  <dcterms:modified xsi:type="dcterms:W3CDTF">2022-01-05T03:29:47Z</dcterms:modified>
  <dc:title>公建内区采光分析报告书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