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pStyle w:val="32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“隐喻再现”金长城遗址展览馆建筑设计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0" w:name="设计编号"/>
            <w:bookmarkEnd w:id="0"/>
            <w:r>
              <w:rPr>
                <w:rFonts w:hint="eastAsia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1" w:name="建设单位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2" w:name="设计单位"/>
            <w:bookmarkEnd w:id="2"/>
            <w:r>
              <w:rPr>
                <w:rFonts w:hint="eastAsia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3" w:name="审核人"/>
            <w:bookmarkEnd w:id="3"/>
            <w:r>
              <w:rPr>
                <w:rFonts w:hint="eastAsia"/>
              </w:rPr>
              <w:t>GZ40027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4" w:name="审定人"/>
            <w:bookmarkEnd w:id="4"/>
            <w:r>
              <w:rPr>
                <w:rFonts w:hint="eastAsia"/>
              </w:rPr>
              <w:t>GZ40027</w:t>
            </w:r>
            <w:bookmarkStart w:id="54" w:name="_GoBack"/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5" w:name="计算日期"/>
            <w:r>
              <w:t>2021年12月24日</w:t>
            </w:r>
            <w:bookmarkEnd w:id="5"/>
          </w:p>
        </w:tc>
      </w:tr>
    </w:tbl>
    <w:p>
      <w:pPr>
        <w:pStyle w:val="32"/>
        <w:rPr>
          <w:sz w:val="30"/>
          <w:szCs w:val="32"/>
        </w:rPr>
      </w:pPr>
    </w:p>
    <w:p>
      <w:pPr>
        <w:pStyle w:val="32"/>
        <w:jc w:val="center"/>
        <w:rPr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2171700" cy="2171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jc w:val="center"/>
        <w:rPr>
          <w:sz w:val="30"/>
          <w:szCs w:val="32"/>
        </w:rPr>
      </w:pPr>
    </w:p>
    <w:p>
      <w:pPr>
        <w:pStyle w:val="32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7" w:name="采用软件"/>
            <w:r>
              <w:rPr>
                <w:rFonts w:hint="eastAsia"/>
              </w:rPr>
              <w:t>采光分析DALI2020采光分析DALI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8" w:name="软件版本"/>
            <w:r>
              <w:rPr>
                <w:szCs w:val="18"/>
              </w:rPr>
              <w:t>20200808(SP1)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9" w:name="正版授权码"/>
            <w:r>
              <w:t>T19846123180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>
      <w:pPr>
        <w:ind w:left="180" w:right="180" w:firstLine="420"/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ind w:left="180" w:right="180" w:firstLine="560"/>
        <w:rPr>
          <w:sz w:val="28"/>
          <w:szCs w:val="28"/>
        </w:rPr>
      </w:pPr>
      <w:bookmarkStart w:id="10" w:name="目录"/>
      <w:r>
        <w:rPr>
          <w:rFonts w:hint="eastAsia"/>
          <w:sz w:val="28"/>
          <w:szCs w:val="28"/>
        </w:rPr>
        <w:t>目  录</w:t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fldChar w:fldCharType="begin"/>
      </w:r>
      <w:r>
        <w:instrText xml:space="preserve"> HYPERLINK \l "_Toc91230916" </w:instrText>
      </w:r>
      <w:r>
        <w:fldChar w:fldCharType="separate"/>
      </w:r>
      <w:r>
        <w:rPr>
          <w:rStyle w:val="24"/>
        </w:rPr>
        <w:t>1.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4"/>
        </w:rPr>
        <w:t>建筑概况</w:t>
      </w:r>
      <w:r>
        <w:tab/>
      </w:r>
      <w:r>
        <w:fldChar w:fldCharType="begin"/>
      </w:r>
      <w:r>
        <w:instrText xml:space="preserve"> PAGEREF _Toc91230916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"_Toc91230917" </w:instrText>
      </w:r>
      <w:r>
        <w:fldChar w:fldCharType="separate"/>
      </w:r>
      <w:r>
        <w:rPr>
          <w:rStyle w:val="24"/>
        </w:rPr>
        <w:t>2.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4"/>
        </w:rPr>
        <w:t>分析目的</w:t>
      </w:r>
      <w:r>
        <w:tab/>
      </w:r>
      <w:r>
        <w:fldChar w:fldCharType="begin"/>
      </w:r>
      <w:r>
        <w:instrText xml:space="preserve"> PAGEREF _Toc91230917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"_Toc91230918" </w:instrText>
      </w:r>
      <w:r>
        <w:fldChar w:fldCharType="separate"/>
      </w:r>
      <w:r>
        <w:rPr>
          <w:rStyle w:val="24"/>
        </w:rPr>
        <w:t>3.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4"/>
        </w:rPr>
        <w:t>分析依据</w:t>
      </w:r>
      <w:r>
        <w:tab/>
      </w:r>
      <w:r>
        <w:fldChar w:fldCharType="begin"/>
      </w:r>
      <w:r>
        <w:instrText xml:space="preserve"> PAGEREF _Toc91230918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"_Toc91230919" </w:instrText>
      </w:r>
      <w:r>
        <w:fldChar w:fldCharType="separate"/>
      </w:r>
      <w:r>
        <w:rPr>
          <w:rStyle w:val="24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标准依据</w:t>
      </w:r>
      <w:r>
        <w:tab/>
      </w:r>
      <w:r>
        <w:fldChar w:fldCharType="begin"/>
      </w:r>
      <w:r>
        <w:instrText xml:space="preserve"> PAGEREF _Toc91230919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"_Toc91230920" </w:instrText>
      </w:r>
      <w:r>
        <w:fldChar w:fldCharType="separate"/>
      </w:r>
      <w:r>
        <w:rPr>
          <w:rStyle w:val="24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标准要求</w:t>
      </w:r>
      <w:r>
        <w:tab/>
      </w:r>
      <w:r>
        <w:fldChar w:fldCharType="begin"/>
      </w:r>
      <w:r>
        <w:instrText xml:space="preserve"> PAGEREF _Toc91230920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"_Toc91230921" </w:instrText>
      </w:r>
      <w:r>
        <w:fldChar w:fldCharType="separate"/>
      </w:r>
      <w:r>
        <w:rPr>
          <w:rStyle w:val="24"/>
        </w:rPr>
        <w:t>4.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4"/>
        </w:rPr>
        <w:t>应用软件与计算方法</w:t>
      </w:r>
      <w:r>
        <w:tab/>
      </w:r>
      <w:r>
        <w:fldChar w:fldCharType="begin"/>
      </w:r>
      <w:r>
        <w:instrText xml:space="preserve"> PAGEREF _Toc91230921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"_Toc91230922" </w:instrText>
      </w:r>
      <w:r>
        <w:fldChar w:fldCharType="separate"/>
      </w:r>
      <w:r>
        <w:rPr>
          <w:rStyle w:val="24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软件选用</w:t>
      </w:r>
      <w:r>
        <w:tab/>
      </w:r>
      <w:r>
        <w:fldChar w:fldCharType="begin"/>
      </w:r>
      <w:r>
        <w:instrText xml:space="preserve"> PAGEREF _Toc91230922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"_Toc91230923" </w:instrText>
      </w:r>
      <w:r>
        <w:fldChar w:fldCharType="separate"/>
      </w:r>
      <w:r>
        <w:rPr>
          <w:rStyle w:val="24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计算原理</w:t>
      </w:r>
      <w:r>
        <w:tab/>
      </w:r>
      <w:r>
        <w:fldChar w:fldCharType="begin"/>
      </w:r>
      <w:r>
        <w:instrText xml:space="preserve"> PAGEREF _Toc91230923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"_Toc91230924" </w:instrText>
      </w:r>
      <w:r>
        <w:fldChar w:fldCharType="separate"/>
      </w:r>
      <w:r>
        <w:rPr>
          <w:rStyle w:val="24"/>
        </w:rPr>
        <w:t>5.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4"/>
        </w:rPr>
        <w:t>计算参数选用</w:t>
      </w:r>
      <w:r>
        <w:tab/>
      </w:r>
      <w:r>
        <w:fldChar w:fldCharType="begin"/>
      </w:r>
      <w:r>
        <w:instrText xml:space="preserve"> PAGEREF _Toc91230924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"_Toc91230925" </w:instrText>
      </w:r>
      <w:r>
        <w:fldChar w:fldCharType="separate"/>
      </w:r>
      <w:r>
        <w:rPr>
          <w:rStyle w:val="24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模拟条件</w:t>
      </w:r>
      <w:r>
        <w:tab/>
      </w:r>
      <w:r>
        <w:fldChar w:fldCharType="begin"/>
      </w:r>
      <w:r>
        <w:instrText xml:space="preserve"> PAGEREF _Toc91230925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"_Toc91230926" </w:instrText>
      </w:r>
      <w:r>
        <w:fldChar w:fldCharType="separate"/>
      </w:r>
      <w:r>
        <w:rPr>
          <w:rStyle w:val="24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建筑饰面材料参数</w:t>
      </w:r>
      <w:r>
        <w:tab/>
      </w:r>
      <w:r>
        <w:fldChar w:fldCharType="begin"/>
      </w:r>
      <w:r>
        <w:instrText xml:space="preserve"> PAGEREF _Toc91230926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"_Toc91230927" </w:instrText>
      </w:r>
      <w:r>
        <w:fldChar w:fldCharType="separate"/>
      </w:r>
      <w:r>
        <w:rPr>
          <w:rStyle w:val="24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门窗类型参数</w:t>
      </w:r>
      <w:r>
        <w:tab/>
      </w:r>
      <w:r>
        <w:fldChar w:fldCharType="begin"/>
      </w:r>
      <w:r>
        <w:instrText xml:space="preserve"> PAGEREF _Toc91230927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"_Toc91230928" </w:instrText>
      </w:r>
      <w:r>
        <w:fldChar w:fldCharType="separate"/>
      </w:r>
      <w:r>
        <w:rPr>
          <w:rStyle w:val="24"/>
          <w:lang w:val="en-GB"/>
        </w:rPr>
        <w:t>5.3.1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普通窗</w:t>
      </w:r>
      <w:r>
        <w:tab/>
      </w:r>
      <w:r>
        <w:fldChar w:fldCharType="begin"/>
      </w:r>
      <w:r>
        <w:instrText xml:space="preserve"> PAGEREF _Toc91230928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"_Toc91230929" </w:instrText>
      </w:r>
      <w:r>
        <w:fldChar w:fldCharType="separate"/>
      </w:r>
      <w:r>
        <w:rPr>
          <w:rStyle w:val="24"/>
          <w:lang w:val="en-GB"/>
        </w:rPr>
        <w:t>5.3.2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玻璃幕墙</w:t>
      </w:r>
      <w:r>
        <w:tab/>
      </w:r>
      <w:r>
        <w:fldChar w:fldCharType="begin"/>
      </w:r>
      <w:r>
        <w:instrText xml:space="preserve"> PAGEREF _Toc91230929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"_Toc91230930" </w:instrText>
      </w:r>
      <w:r>
        <w:fldChar w:fldCharType="separate"/>
      </w:r>
      <w:r>
        <w:rPr>
          <w:rStyle w:val="24"/>
        </w:rPr>
        <w:t>6.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4"/>
        </w:rPr>
        <w:t>眩光分析结果</w:t>
      </w:r>
      <w:r>
        <w:tab/>
      </w:r>
      <w:r>
        <w:fldChar w:fldCharType="begin"/>
      </w:r>
      <w:r>
        <w:instrText xml:space="preserve"> PAGEREF _Toc91230930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"_Toc91230931" </w:instrText>
      </w:r>
      <w:r>
        <w:fldChar w:fldCharType="separate"/>
      </w:r>
      <w:r>
        <w:rPr>
          <w:rStyle w:val="24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眩光指数</w:t>
      </w:r>
      <w:r>
        <w:tab/>
      </w:r>
      <w:r>
        <w:fldChar w:fldCharType="begin"/>
      </w:r>
      <w:r>
        <w:instrText xml:space="preserve"> PAGEREF _Toc91230931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"_Toc91230932" </w:instrText>
      </w:r>
      <w:r>
        <w:fldChar w:fldCharType="separate"/>
      </w:r>
      <w:r>
        <w:rPr>
          <w:rStyle w:val="24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采光均匀度</w:t>
      </w:r>
      <w:r>
        <w:tab/>
      </w:r>
      <w:r>
        <w:fldChar w:fldCharType="begin"/>
      </w:r>
      <w:r>
        <w:instrText xml:space="preserve"> PAGEREF _Toc91230932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"_Toc91230933" </w:instrText>
      </w:r>
      <w:r>
        <w:fldChar w:fldCharType="separate"/>
      </w:r>
      <w:r>
        <w:rPr>
          <w:rStyle w:val="24"/>
        </w:rPr>
        <w:t>7.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4"/>
        </w:rPr>
        <w:t>评价结论</w:t>
      </w:r>
      <w:r>
        <w:tab/>
      </w:r>
      <w:r>
        <w:fldChar w:fldCharType="begin"/>
      </w:r>
      <w:r>
        <w:instrText xml:space="preserve"> PAGEREF _Toc91230933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"_Toc91230934" </w:instrText>
      </w:r>
      <w:r>
        <w:fldChar w:fldCharType="separate"/>
      </w:r>
      <w:r>
        <w:rPr>
          <w:rStyle w:val="24"/>
        </w:rPr>
        <w:t>8.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4"/>
        </w:rPr>
        <w:t>附：项目总平面图</w:t>
      </w:r>
      <w:r>
        <w:tab/>
      </w:r>
      <w:r>
        <w:fldChar w:fldCharType="begin"/>
      </w:r>
      <w:r>
        <w:instrText xml:space="preserve"> PAGEREF _Toc91230934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 w:val="28"/>
          <w:szCs w:val="28"/>
        </w:rPr>
        <w:fldChar w:fldCharType="end"/>
      </w:r>
      <w:bookmarkEnd w:id="10"/>
    </w:p>
    <w:p>
      <w:pPr>
        <w:pStyle w:val="2"/>
        <w:rPr>
          <w:rFonts w:ascii="微软雅黑" w:hAnsi="微软雅黑"/>
        </w:rPr>
      </w:pPr>
      <w:bookmarkStart w:id="11" w:name="_Toc91230916"/>
      <w:r>
        <w:rPr>
          <w:rFonts w:hint="eastAsia" w:ascii="微软雅黑" w:hAnsi="微软雅黑"/>
        </w:rPr>
        <w:t>建筑</w:t>
      </w:r>
      <w:r>
        <w:rPr>
          <w:rFonts w:ascii="微软雅黑" w:hAnsi="微软雅黑"/>
        </w:rPr>
        <w:t>概况</w:t>
      </w:r>
      <w:bookmarkEnd w:id="11"/>
    </w:p>
    <w:tbl>
      <w:tblPr>
        <w:tblStyle w:val="19"/>
        <w:tblpPr w:leftFromText="180" w:rightFromText="180" w:vertAnchor="text" w:horzAnchor="page" w:tblpX="1843" w:tblpY="233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2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>
            <w:pPr>
              <w:pStyle w:val="32"/>
              <w:rPr>
                <w:lang w:val="en-US"/>
              </w:rPr>
            </w:pPr>
            <w:bookmarkStart w:id="12" w:name="光气候分区"/>
            <w:r>
              <w:rPr>
                <w:lang w:val="en-US"/>
              </w:rPr>
              <w:t>III</w:t>
            </w:r>
            <w:bookmarkEnd w:id="12"/>
          </w:p>
        </w:tc>
        <w:tc>
          <w:tcPr>
            <w:tcW w:w="1800" w:type="dxa"/>
            <w:shd w:val="clear" w:color="auto" w:fill="E0E0E0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>
            <w:pPr>
              <w:pStyle w:val="32"/>
              <w:rPr>
                <w:lang w:val="en-US"/>
              </w:rPr>
            </w:pPr>
            <w:bookmarkStart w:id="13" w:name="光气候系数K"/>
            <w:r>
              <w:rPr>
                <w:lang w:val="en-US"/>
              </w:rPr>
              <w:t>1.00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4" w:name="地上建筑面积"/>
            <w:r>
              <w:rPr>
                <w:rFonts w:hint="eastAsia"/>
                <w:lang w:val="en-US"/>
              </w:rPr>
              <w:t>3495.82</w:t>
            </w:r>
            <w:bookmarkEnd w:id="14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5" w:name="地下建筑面积"/>
            <w:r>
              <w:rPr>
                <w:rFonts w:hint="eastAsia"/>
                <w:lang w:val="en-US"/>
              </w:rPr>
              <w:t>0.00</w:t>
            </w:r>
            <w:bookmarkEnd w:id="15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层数"/>
            <w:r>
              <w:rPr>
                <w:rFonts w:hint="eastAsia"/>
                <w:lang w:val="en-US"/>
              </w:rPr>
              <w:t>4</w:t>
            </w:r>
            <w:bookmarkEnd w:id="16"/>
            <w:r>
              <w:rPr>
                <w:rFonts w:hint="eastAsia"/>
                <w:lang w:val="en-US"/>
              </w:rPr>
              <w:t xml:space="preserve"> 层            地下  </w:t>
            </w:r>
            <w:bookmarkStart w:id="17" w:name="地下建筑层数"/>
            <w:r>
              <w:rPr>
                <w:rFonts w:hint="eastAsia"/>
                <w:lang w:val="en-US"/>
              </w:rPr>
              <w:t>0</w:t>
            </w:r>
            <w:bookmarkEnd w:id="17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8" w:name="地上建筑高度"/>
            <w:r>
              <w:rPr>
                <w:rFonts w:hint="eastAsia"/>
                <w:lang w:val="en-US"/>
              </w:rPr>
              <w:t>21.60</w:t>
            </w:r>
            <w:bookmarkEnd w:id="18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19" w:name="地下建筑高度"/>
            <w:r>
              <w:rPr>
                <w:rFonts w:hint="eastAsia"/>
                <w:lang w:val="en-US"/>
              </w:rPr>
              <w:t>0.00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</w:p>
        </w:tc>
      </w:tr>
    </w:tbl>
    <w:p>
      <w:pPr>
        <w:pStyle w:val="3"/>
        <w:ind w:firstLine="420"/>
        <w:rPr>
          <w:rFonts w:ascii="微软雅黑" w:hAnsi="微软雅黑" w:eastAsia="微软雅黑"/>
          <w:lang w:val="en-US"/>
        </w:rPr>
      </w:pPr>
    </w:p>
    <w:p>
      <w:pPr>
        <w:pStyle w:val="3"/>
        <w:ind w:firstLine="360"/>
        <w:jc w:val="center"/>
        <w:rPr>
          <w:rFonts w:ascii="微软雅黑" w:hAnsi="微软雅黑" w:eastAsia="微软雅黑"/>
          <w:sz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0" w:name="_Toc91230917"/>
      <w:r>
        <w:rPr>
          <w:rFonts w:hint="eastAsia" w:ascii="微软雅黑" w:hAnsi="微软雅黑"/>
        </w:rPr>
        <w:t>分析目的</w:t>
      </w:r>
      <w:bookmarkEnd w:id="20"/>
    </w:p>
    <w:p>
      <w:pPr>
        <w:pStyle w:val="32"/>
        <w:ind w:firstLine="420" w:firstLineChars="20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>
      <w:pPr>
        <w:pStyle w:val="32"/>
        <w:ind w:firstLine="420" w:firstLineChars="20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>
      <w:pPr>
        <w:pStyle w:val="2"/>
        <w:rPr>
          <w:rFonts w:ascii="微软雅黑" w:hAnsi="微软雅黑"/>
        </w:rPr>
      </w:pPr>
      <w:bookmarkStart w:id="21" w:name="_Toc91230918"/>
      <w:r>
        <w:rPr>
          <w:rFonts w:hint="eastAsia" w:ascii="微软雅黑" w:hAnsi="微软雅黑"/>
        </w:rPr>
        <w:t>分析依据</w:t>
      </w:r>
      <w:bookmarkEnd w:id="21"/>
    </w:p>
    <w:p>
      <w:pPr>
        <w:pStyle w:val="4"/>
        <w:rPr>
          <w:rFonts w:ascii="微软雅黑" w:hAnsi="微软雅黑"/>
        </w:rPr>
      </w:pPr>
      <w:bookmarkStart w:id="22" w:name="_Toc91230919"/>
      <w:r>
        <w:rPr>
          <w:rFonts w:hint="eastAsia" w:ascii="微软雅黑" w:hAnsi="微软雅黑"/>
        </w:rPr>
        <w:t>标准依据</w:t>
      </w:r>
      <w:bookmarkEnd w:id="22"/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>
      <w:pPr>
        <w:pStyle w:val="4"/>
        <w:rPr>
          <w:rFonts w:ascii="微软雅黑" w:hAnsi="微软雅黑"/>
        </w:rPr>
      </w:pPr>
      <w:bookmarkStart w:id="23" w:name="_Toc91230920"/>
      <w:r>
        <w:rPr>
          <w:rFonts w:hint="eastAsia" w:ascii="微软雅黑" w:hAnsi="微软雅黑"/>
        </w:rPr>
        <w:t>标准要求</w:t>
      </w:r>
      <w:bookmarkEnd w:id="23"/>
    </w:p>
    <w:p>
      <w:pPr>
        <w:pStyle w:val="32"/>
        <w:ind w:firstLine="420" w:firstLineChars="200"/>
        <w:rPr>
          <w:lang w:val="en-US"/>
        </w:rPr>
      </w:pPr>
      <w:r>
        <w:rPr>
          <w:lang w:val="en-US"/>
        </w:rPr>
        <w:t>本报告以《建筑采光设计标准》GB 50033-2013为计算依据，以《绿色建筑评价标准》GB/T 50378－2019为评价依据。</w:t>
      </w:r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>
      <w:pPr>
        <w:pStyle w:val="32"/>
        <w:ind w:firstLine="420" w:firstLineChars="200"/>
      </w:pPr>
      <w:r>
        <w:rPr>
          <w:rFonts w:hint="eastAsia"/>
        </w:rPr>
        <w:t>窗的不舒适眩光指数不宜高于表5.0.3规定的数值。</w:t>
      </w:r>
    </w:p>
    <w:p>
      <w:pPr>
        <w:pStyle w:val="32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4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28</w:t>
            </w:r>
          </w:p>
        </w:tc>
      </w:tr>
    </w:tbl>
    <w:p>
      <w:pPr>
        <w:pStyle w:val="13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>
      <w:pPr>
        <w:ind w:left="180" w:right="180"/>
        <w:jc w:val="left"/>
        <w:rPr>
          <w:b/>
          <w:lang w:val="en-US"/>
        </w:rPr>
      </w:pPr>
      <w:r>
        <w:rPr>
          <w:rFonts w:hint="eastAsia"/>
          <w:b/>
          <w:lang w:val="en-US"/>
        </w:rPr>
        <w:t>■ 《绿色建筑评价标准》GB/T 50378-201</w:t>
      </w:r>
      <w:r>
        <w:rPr>
          <w:b/>
          <w:lang w:val="en-US"/>
        </w:rPr>
        <w:t>9</w:t>
      </w:r>
      <w:r>
        <w:rPr>
          <w:rFonts w:hint="eastAsia"/>
          <w:b/>
          <w:lang w:val="en-US"/>
        </w:rPr>
        <w:t>规定：</w:t>
      </w:r>
    </w:p>
    <w:p>
      <w:pPr>
        <w:pStyle w:val="32"/>
      </w:pPr>
      <w:r>
        <w:t xml:space="preserve">5. 2. 8 </w:t>
      </w:r>
      <w:r>
        <w:rPr>
          <w:rFonts w:hint="eastAsia"/>
        </w:rPr>
        <w:t>充分利用天然光，评价总分值为</w:t>
      </w:r>
      <w:r>
        <w:t xml:space="preserve">12 </w:t>
      </w:r>
      <w:r>
        <w:rPr>
          <w:rFonts w:hint="eastAsia"/>
        </w:rPr>
        <w:t>分，并按下列规则分别评分并累计：</w:t>
      </w:r>
    </w:p>
    <w:p>
      <w:pPr>
        <w:pStyle w:val="32"/>
        <w:ind w:left="420" w:leftChars="200"/>
      </w:pPr>
      <w:r>
        <w:t xml:space="preserve">1 </w:t>
      </w:r>
      <w:r>
        <w:rPr>
          <w:rFonts w:hint="eastAsia"/>
        </w:rPr>
        <w:t>住宅建筑室内主要功能空间至少</w:t>
      </w:r>
      <w:r>
        <w:t xml:space="preserve">60% </w:t>
      </w:r>
      <w:r>
        <w:rPr>
          <w:rFonts w:hint="eastAsia"/>
        </w:rPr>
        <w:t>面积比例区域，其采光照度值不低千</w:t>
      </w:r>
      <w:r>
        <w:t xml:space="preserve">300lx </w:t>
      </w:r>
      <w:r>
        <w:rPr>
          <w:rFonts w:hint="eastAsia"/>
        </w:rPr>
        <w:t>的小时数平均不少于</w:t>
      </w:r>
      <w:r>
        <w:t xml:space="preserve">8h/d, </w:t>
      </w:r>
      <w:r>
        <w:rPr>
          <w:rFonts w:hint="eastAsia"/>
        </w:rPr>
        <w:t>得</w:t>
      </w:r>
      <w:r>
        <w:t xml:space="preserve">9 </w:t>
      </w:r>
      <w:r>
        <w:rPr>
          <w:rFonts w:hint="eastAsia"/>
        </w:rPr>
        <w:t>分。</w:t>
      </w:r>
    </w:p>
    <w:p>
      <w:pPr>
        <w:pStyle w:val="32"/>
        <w:ind w:left="420" w:leftChars="200"/>
      </w:pPr>
      <w:r>
        <w:t xml:space="preserve">2 </w:t>
      </w:r>
      <w:r>
        <w:rPr>
          <w:rFonts w:hint="eastAsia"/>
        </w:rPr>
        <w:t>公共建筑按下列规则分别评分并累计：</w:t>
      </w:r>
    </w:p>
    <w:p>
      <w:pPr>
        <w:pStyle w:val="32"/>
        <w:ind w:left="630" w:leftChars="300"/>
      </w:pPr>
      <w:r>
        <w:t xml:space="preserve">1) </w:t>
      </w:r>
      <w:r>
        <w:rPr>
          <w:rFonts w:hint="eastAsia"/>
        </w:rPr>
        <w:t>内区采光系数满足采光要求的面积比例达到</w:t>
      </w:r>
      <w:r>
        <w:t xml:space="preserve">60%,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分；</w:t>
      </w:r>
    </w:p>
    <w:p>
      <w:pPr>
        <w:pStyle w:val="32"/>
        <w:ind w:left="630" w:leftChars="300"/>
      </w:pPr>
      <w:r>
        <w:t xml:space="preserve">2) </w:t>
      </w:r>
      <w:r>
        <w:rPr>
          <w:rFonts w:hint="eastAsia"/>
        </w:rPr>
        <w:t>地下空间平均采光系数不小于</w:t>
      </w:r>
      <w:r>
        <w:t xml:space="preserve">0. 5% </w:t>
      </w:r>
      <w:r>
        <w:rPr>
          <w:rFonts w:hint="eastAsia"/>
        </w:rPr>
        <w:t>的面积与地下室首层面积的比例达到</w:t>
      </w:r>
      <w:r>
        <w:t xml:space="preserve">10% </w:t>
      </w:r>
      <w:r>
        <w:rPr>
          <w:rFonts w:hint="eastAsia"/>
        </w:rPr>
        <w:t>以上，得</w:t>
      </w:r>
      <w:r>
        <w:t xml:space="preserve">3 </w:t>
      </w:r>
      <w:r>
        <w:rPr>
          <w:rFonts w:hint="eastAsia"/>
        </w:rPr>
        <w:t>分；</w:t>
      </w:r>
    </w:p>
    <w:p>
      <w:pPr>
        <w:pStyle w:val="32"/>
        <w:ind w:left="630" w:leftChars="300"/>
      </w:pPr>
      <w:r>
        <w:t xml:space="preserve">3) </w:t>
      </w:r>
      <w:r>
        <w:rPr>
          <w:rFonts w:hint="eastAsia"/>
        </w:rPr>
        <w:t>室内主要功能空间至少</w:t>
      </w:r>
      <w:r>
        <w:t xml:space="preserve">60% </w:t>
      </w:r>
      <w:r>
        <w:rPr>
          <w:rFonts w:hint="eastAsia"/>
        </w:rPr>
        <w:t>面积比例区域的采光照度值</w:t>
      </w:r>
      <w:r>
        <w:t>不低千采光要求的小</w:t>
      </w:r>
      <w:r>
        <w:rPr>
          <w:rFonts w:hint="eastAsia"/>
        </w:rPr>
        <w:t>时</w:t>
      </w:r>
      <w:r>
        <w:t xml:space="preserve">数平均不少于4h/d, </w:t>
      </w:r>
      <w:r>
        <w:rPr>
          <w:rFonts w:hint="eastAsia"/>
        </w:rPr>
        <w:t>得</w:t>
      </w:r>
      <w:r>
        <w:t xml:space="preserve">3 </w:t>
      </w:r>
      <w:r>
        <w:rPr>
          <w:rFonts w:hint="eastAsia"/>
        </w:rPr>
        <w:t>分。</w:t>
      </w:r>
    </w:p>
    <w:p>
      <w:pPr>
        <w:pStyle w:val="32"/>
        <w:ind w:left="420" w:leftChars="200"/>
      </w:pPr>
      <w:r>
        <w:t xml:space="preserve">3 </w:t>
      </w:r>
      <w:r>
        <w:rPr>
          <w:rFonts w:hint="eastAsia"/>
        </w:rPr>
        <w:t>主要功能房间</w:t>
      </w:r>
      <w:r>
        <w:t>有眩光控制措施，得</w:t>
      </w:r>
      <w:bookmarkStart w:id="24" w:name="眩光评价分值"/>
      <w:r>
        <w:t>3</w:t>
      </w:r>
      <w:bookmarkEnd w:id="24"/>
      <w:r>
        <w:t xml:space="preserve"> </w:t>
      </w:r>
      <w:r>
        <w:rPr>
          <w:rFonts w:hint="eastAsia"/>
        </w:rPr>
        <w:t>分。</w:t>
      </w:r>
    </w:p>
    <w:p>
      <w:pPr>
        <w:ind w:left="630" w:leftChars="300" w:right="180"/>
        <w:rPr>
          <w:szCs w:val="21"/>
        </w:rPr>
      </w:pPr>
    </w:p>
    <w:p>
      <w:pPr>
        <w:ind w:left="180" w:right="180"/>
        <w:jc w:val="left"/>
        <w:rPr>
          <w:lang w:val="en-US"/>
        </w:rPr>
      </w:pPr>
      <w:r>
        <w:rPr>
          <w:rFonts w:hint="eastAsia"/>
          <w:lang w:val="en-US"/>
        </w:rPr>
        <w:t>■</w:t>
      </w:r>
      <w:r>
        <w:rPr>
          <w:rFonts w:hint="eastAsia"/>
          <w:b/>
          <w:lang w:val="en-US"/>
        </w:rPr>
        <w:t xml:space="preserve"> 《绿色建筑评价标准技术细则2019》指出：</w:t>
      </w:r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5" w:name="最大光均匀度要求"/>
      <w:r>
        <w:rPr>
          <w:rFonts w:hint="eastAsia"/>
          <w:lang w:val="en-US"/>
        </w:rPr>
        <w:t>6</w:t>
      </w:r>
      <w:bookmarkEnd w:id="25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>
      <w:pPr>
        <w:ind w:left="630" w:leftChars="300" w:right="180"/>
        <w:rPr>
          <w:szCs w:val="21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6" w:name="_Toc91230921"/>
      <w:r>
        <w:rPr>
          <w:rFonts w:hint="eastAsia" w:ascii="微软雅黑" w:hAnsi="微软雅黑"/>
        </w:rPr>
        <w:t>应用软件与计算方法</w:t>
      </w:r>
      <w:bookmarkEnd w:id="26"/>
    </w:p>
    <w:p>
      <w:pPr>
        <w:pStyle w:val="4"/>
        <w:rPr>
          <w:rFonts w:ascii="微软雅黑" w:hAnsi="微软雅黑"/>
        </w:rPr>
      </w:pPr>
      <w:bookmarkStart w:id="27" w:name="_Toc9123092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27"/>
    </w:p>
    <w:p>
      <w:pPr>
        <w:pStyle w:val="32"/>
        <w:ind w:firstLine="420" w:firstLineChars="20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DALI是国内首款与国标《建筑采光设计标准》GB50033-2013配套的软件，支持《绿色建筑评价标准》GB/T50378-2019的采光指标要求。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>
      <w:pPr>
        <w:pStyle w:val="32"/>
        <w:ind w:firstLine="420" w:firstLineChars="20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>
      <w:pPr>
        <w:pStyle w:val="4"/>
        <w:rPr>
          <w:rFonts w:ascii="微软雅黑" w:hAnsi="微软雅黑"/>
        </w:rPr>
      </w:pPr>
      <w:bookmarkStart w:id="28" w:name="_Toc91230923"/>
      <w:r>
        <w:rPr>
          <w:rFonts w:hint="eastAsia" w:ascii="微软雅黑" w:hAnsi="微软雅黑"/>
        </w:rPr>
        <w:t>计算原理</w:t>
      </w:r>
      <w:bookmarkEnd w:id="28"/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■ 窗的不舒适眩光指数（</w:t>
      </w:r>
      <w:r>
        <w:rPr>
          <w:rFonts w:ascii="微软雅黑" w:hAnsi="微软雅黑"/>
          <w:b/>
          <w:sz w:val="21"/>
          <w:szCs w:val="21"/>
        </w:rPr>
        <w:t>DGI</w:t>
      </w:r>
      <w:r>
        <w:rPr>
          <w:rFonts w:hint="eastAsia" w:ascii="微软雅黑" w:hAnsi="微软雅黑"/>
          <w:b/>
          <w:sz w:val="21"/>
          <w:szCs w:val="21"/>
        </w:rPr>
        <w:t xml:space="preserve">）可按下列公式计算： </w: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4pt;width:90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6.6pt;width:136.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pt;width:49.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2pt;width:420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</w:p>
    <w:p>
      <w:pPr>
        <w:pStyle w:val="32"/>
        <w:ind w:left="630" w:leftChars="300"/>
        <w:rPr>
          <w:sz w:val="20"/>
        </w:rPr>
      </w:pPr>
      <w:r>
        <w:rPr>
          <w:rFonts w:hint="eastAsia"/>
          <w:sz w:val="20"/>
        </w:rPr>
        <w:t>式中：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Gn----眩光常数；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ω----窗对计算点形成的立体角（sr）；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Ω----考虑窗位置修正的立体角（sr）；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P ----古斯位置指数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α----窗对角线与窗垂直方向的夹角；</w:t>
      </w:r>
    </w:p>
    <w:p>
      <w:pPr>
        <w:pStyle w:val="32"/>
        <w:ind w:left="630" w:leftChars="3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0" distR="0">
            <wp:extent cx="2788920" cy="249936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>
      <w:pPr>
        <w:pStyle w:val="2"/>
        <w:rPr>
          <w:rFonts w:ascii="微软雅黑" w:hAnsi="微软雅黑"/>
        </w:rPr>
      </w:pPr>
      <w:bookmarkStart w:id="29" w:name="_Toc91230924"/>
      <w:r>
        <w:rPr>
          <w:rFonts w:hint="eastAsia" w:ascii="微软雅黑" w:hAnsi="微软雅黑"/>
        </w:rPr>
        <w:t>计算参数选用</w:t>
      </w:r>
      <w:bookmarkEnd w:id="29"/>
    </w:p>
    <w:p>
      <w:pPr>
        <w:pStyle w:val="4"/>
        <w:rPr>
          <w:rFonts w:ascii="微软雅黑" w:hAnsi="微软雅黑"/>
        </w:rPr>
      </w:pPr>
      <w:bookmarkStart w:id="30" w:name="_Toc91230925"/>
      <w:r>
        <w:rPr>
          <w:rFonts w:hint="eastAsia" w:ascii="微软雅黑" w:hAnsi="微软雅黑"/>
        </w:rPr>
        <w:t>模拟条件</w:t>
      </w:r>
      <w:bookmarkEnd w:id="30"/>
    </w:p>
    <w:p>
      <w:pPr>
        <w:pStyle w:val="32"/>
        <w:ind w:left="420" w:leftChars="200"/>
      </w:pPr>
      <w:r>
        <w:rPr>
          <w:rFonts w:hint="eastAsia"/>
        </w:rPr>
        <w:t>天空状态：</w:t>
      </w:r>
      <w:bookmarkStart w:id="31" w:name="天空模型"/>
      <w:r>
        <w:rPr>
          <w:rFonts w:hint="eastAsia"/>
        </w:rPr>
        <w:t>晴天－CIE12（大气清晰）：6月15日 9:29 考虑太阳直射</w:t>
      </w:r>
      <w:bookmarkEnd w:id="31"/>
    </w:p>
    <w:p>
      <w:pPr>
        <w:pStyle w:val="32"/>
        <w:ind w:left="420" w:leftChars="200"/>
      </w:pPr>
      <w:r>
        <w:t>周边环境</w:t>
      </w:r>
      <w:r>
        <w:rPr>
          <w:rFonts w:hint="eastAsia"/>
        </w:rPr>
        <w:t>：</w:t>
      </w:r>
      <w:r>
        <w:t>考虑</w:t>
      </w:r>
      <w:r>
        <w:rPr>
          <w:rFonts w:hint="eastAsia"/>
        </w:rPr>
        <w:t>分析区内的</w:t>
      </w:r>
      <w:r>
        <w:t>建筑物</w:t>
      </w:r>
      <w:r>
        <w:rPr>
          <w:rFonts w:hint="eastAsia"/>
        </w:rPr>
        <w:t>之间</w:t>
      </w:r>
      <w:r>
        <w:t>遮挡</w:t>
      </w:r>
    </w:p>
    <w:p>
      <w:pPr>
        <w:pStyle w:val="32"/>
        <w:ind w:left="420" w:leftChars="200"/>
      </w:pPr>
      <w:r>
        <w:rPr>
          <w:rFonts w:hint="eastAsia"/>
        </w:rPr>
        <w:t>室内环境：</w:t>
      </w:r>
      <w:r>
        <w:t>忽略室内家具</w:t>
      </w:r>
      <w:r>
        <w:rPr>
          <w:rFonts w:hint="eastAsia"/>
        </w:rPr>
        <w:t>类设施</w:t>
      </w:r>
      <w:r>
        <w:t>的影响，</w:t>
      </w:r>
      <w:r>
        <w:rPr>
          <w:rFonts w:hint="eastAsia"/>
        </w:rPr>
        <w:t>只考虑永久固定的顶棚、地面和墙面</w:t>
      </w:r>
      <w:r>
        <w:t>。</w:t>
      </w:r>
    </w:p>
    <w:p>
      <w:pPr>
        <w:pStyle w:val="4"/>
        <w:rPr>
          <w:rFonts w:ascii="微软雅黑" w:hAnsi="微软雅黑"/>
        </w:rPr>
      </w:pPr>
      <w:bookmarkStart w:id="32" w:name="_Toc91230926"/>
      <w:r>
        <w:rPr>
          <w:rFonts w:hint="eastAsia" w:ascii="微软雅黑" w:hAnsi="微软雅黑"/>
        </w:rPr>
        <w:t>建筑饰面材料参数</w:t>
      </w:r>
      <w:bookmarkEnd w:id="32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464"/>
        <w:gridCol w:w="35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3" w:name="顶棚反射比"/>
            <w:r>
              <w:rPr>
                <w:rFonts w:hint="eastAsia"/>
              </w:rPr>
              <w:t>0.75</w:t>
            </w:r>
            <w:bookmarkEnd w:id="33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4" w:name="地面反射比"/>
            <w:r>
              <w:rPr>
                <w:rFonts w:hint="eastAsia"/>
              </w:rPr>
              <w:t>0.30</w:t>
            </w:r>
            <w:bookmarkEnd w:id="34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5" w:name="墙面反射比"/>
            <w:r>
              <w:rPr>
                <w:rFonts w:hint="eastAsia"/>
              </w:rPr>
              <w:t>0.60</w:t>
            </w:r>
            <w:bookmarkEnd w:id="35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6" w:name="外表面反射比"/>
            <w:r>
              <w:rPr>
                <w:rFonts w:hint="eastAsia"/>
              </w:rPr>
              <w:t>0.50</w:t>
            </w:r>
            <w:bookmarkEnd w:id="36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</w:tbl>
    <w:p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>
      <w:pPr>
        <w:pStyle w:val="4"/>
        <w:rPr>
          <w:rFonts w:ascii="微软雅黑" w:hAnsi="微软雅黑"/>
        </w:rPr>
      </w:pPr>
      <w:bookmarkStart w:id="37" w:name="_Toc91230927"/>
      <w:r>
        <w:rPr>
          <w:rFonts w:hint="eastAsia" w:ascii="微软雅黑" w:hAnsi="微软雅黑"/>
        </w:rPr>
        <w:t>门窗类型参数</w:t>
      </w:r>
      <w:bookmarkEnd w:id="37"/>
    </w:p>
    <w:p>
      <w:pPr>
        <w:pStyle w:val="32"/>
        <w:ind w:firstLine="420" w:firstLineChars="20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38" w:name="_Toc91230928"/>
      <w:bookmarkStart w:id="39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38"/>
    </w:p>
    <w:bookmarkEnd w:id="39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C1513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245" w:type="dxa"/>
            <w:vAlign w:val="center"/>
          </w:tcPr>
          <w:p>
            <w:r>
              <w:t>1300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C1515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C1521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245" w:type="dxa"/>
            <w:vAlign w:val="center"/>
          </w:tcPr>
          <w:p>
            <w:r>
              <w:t>2100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C1524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245" w:type="dxa"/>
            <w:vAlign w:val="center"/>
          </w:tcPr>
          <w:p>
            <w:r>
              <w:t>2400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C1815</w:t>
            </w:r>
          </w:p>
        </w:tc>
        <w:tc>
          <w:tcPr>
            <w:tcW w:w="1245" w:type="dxa"/>
            <w:vAlign w:val="center"/>
          </w:tcPr>
          <w:p>
            <w:r>
              <w:t>1800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C1824</w:t>
            </w:r>
          </w:p>
        </w:tc>
        <w:tc>
          <w:tcPr>
            <w:tcW w:w="1245" w:type="dxa"/>
            <w:vAlign w:val="center"/>
          </w:tcPr>
          <w:p>
            <w:r>
              <w:t>1800</w:t>
            </w:r>
          </w:p>
        </w:tc>
        <w:tc>
          <w:tcPr>
            <w:tcW w:w="1245" w:type="dxa"/>
            <w:vAlign w:val="center"/>
          </w:tcPr>
          <w:p>
            <w:r>
              <w:t>2400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C2424</w:t>
            </w:r>
          </w:p>
        </w:tc>
        <w:tc>
          <w:tcPr>
            <w:tcW w:w="1245" w:type="dxa"/>
            <w:vAlign w:val="center"/>
          </w:tcPr>
          <w:p>
            <w:r>
              <w:t>2400</w:t>
            </w:r>
          </w:p>
        </w:tc>
        <w:tc>
          <w:tcPr>
            <w:tcW w:w="1245" w:type="dxa"/>
            <w:vAlign w:val="center"/>
          </w:tcPr>
          <w:p>
            <w:r>
              <w:t>2400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>
            <w:r>
              <w:t>C3212</w:t>
            </w:r>
          </w:p>
        </w:tc>
        <w:tc>
          <w:tcPr>
            <w:tcW w:w="1245" w:type="dxa"/>
            <w:vAlign w:val="center"/>
          </w:tcPr>
          <w:p>
            <w:r>
              <w:t>3245</w:t>
            </w:r>
          </w:p>
        </w:tc>
        <w:tc>
          <w:tcPr>
            <w:tcW w:w="1245" w:type="dxa"/>
            <w:vAlign w:val="center"/>
          </w:tcPr>
          <w:p>
            <w:r>
              <w:t>1200</w:t>
            </w:r>
          </w:p>
        </w:tc>
        <w:tc>
          <w:tcPr>
            <w:tcW w:w="1301" w:type="dxa"/>
            <w:vAlign w:val="center"/>
          </w:tcPr>
          <w:p>
            <w:r>
              <w:t>双层铝窗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40" w:name="_Toc91230929"/>
      <w:bookmarkStart w:id="41" w:name="幕墙"/>
      <w:r>
        <w:rPr>
          <w:rFonts w:hint="eastAsia" w:ascii="微软雅黑" w:hAnsi="微软雅黑"/>
        </w:rPr>
        <w:t>玻璃幕墙</w:t>
      </w:r>
      <w:bookmarkEnd w:id="40"/>
    </w:p>
    <w:bookmarkEnd w:id="41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4390</w:t>
            </w:r>
          </w:p>
        </w:tc>
        <w:tc>
          <w:tcPr>
            <w:tcW w:w="1245" w:type="dxa"/>
            <w:vAlign w:val="center"/>
          </w:tcPr>
          <w:p>
            <w:r>
              <w:t>5400</w:t>
            </w:r>
          </w:p>
        </w:tc>
        <w:tc>
          <w:tcPr>
            <w:tcW w:w="1301" w:type="dxa"/>
            <w:vAlign w:val="center"/>
          </w:tcPr>
          <w:p>
            <w:r>
              <w:t>单层铝窗</w:t>
            </w:r>
          </w:p>
        </w:tc>
        <w:tc>
          <w:tcPr>
            <w:tcW w:w="1301" w:type="dxa"/>
            <w:vAlign w:val="center"/>
          </w:tcPr>
          <w:p>
            <w:r>
              <w:t>高透Low-E</w:t>
            </w:r>
          </w:p>
        </w:tc>
        <w:tc>
          <w:tcPr>
            <w:tcW w:w="1516" w:type="dxa"/>
            <w:vAlign w:val="center"/>
          </w:tcPr>
          <w:p>
            <w:r>
              <w:t>0.76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42" w:name="_Toc91230930"/>
      <w:r>
        <w:rPr>
          <w:rFonts w:hint="eastAsia" w:ascii="微软雅黑" w:hAnsi="微软雅黑"/>
        </w:rPr>
        <w:t>眩光分析结果</w:t>
      </w:r>
      <w:bookmarkEnd w:id="42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3" w:name="_Toc91230931"/>
      <w:r>
        <w:rPr>
          <w:rFonts w:hint="eastAsia" w:ascii="微软雅黑" w:hAnsi="微软雅黑"/>
        </w:rPr>
        <w:t>眩光指数</w:t>
      </w:r>
      <w:bookmarkEnd w:id="43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2015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19.72</w:t>
            </w:r>
          </w:p>
        </w:tc>
        <w:tc>
          <w:tcPr>
            <w:tcW w:w="1075" w:type="dxa"/>
            <w:vAlign w:val="center"/>
          </w:tcPr>
          <w:p>
            <w:r>
              <w:t>19.0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2014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20.59</w:t>
            </w:r>
          </w:p>
        </w:tc>
        <w:tc>
          <w:tcPr>
            <w:tcW w:w="1075" w:type="dxa"/>
            <w:vAlign w:val="center"/>
          </w:tcPr>
          <w:p>
            <w:r>
              <w:t>15.3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2008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25.81</w:t>
            </w:r>
          </w:p>
        </w:tc>
        <w:tc>
          <w:tcPr>
            <w:tcW w:w="1075" w:type="dxa"/>
            <w:vAlign w:val="center"/>
          </w:tcPr>
          <w:p>
            <w:r>
              <w:t>15.3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2016</w:t>
            </w:r>
          </w:p>
        </w:tc>
        <w:tc>
          <w:tcPr>
            <w:tcW w:w="1075" w:type="dxa"/>
            <w:vAlign w:val="center"/>
          </w:tcPr>
          <w:p>
            <w:r>
              <w:t>文物修复室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19.72</w:t>
            </w:r>
          </w:p>
        </w:tc>
        <w:tc>
          <w:tcPr>
            <w:tcW w:w="1075" w:type="dxa"/>
            <w:vAlign w:val="center"/>
          </w:tcPr>
          <w:p>
            <w:r>
              <w:t>18.7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2010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23.20</w:t>
            </w:r>
          </w:p>
        </w:tc>
        <w:tc>
          <w:tcPr>
            <w:tcW w:w="1075" w:type="dxa"/>
            <w:vAlign w:val="center"/>
          </w:tcPr>
          <w:p>
            <w:r>
              <w:t>18.2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3001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40.60</w:t>
            </w:r>
          </w:p>
        </w:tc>
        <w:tc>
          <w:tcPr>
            <w:tcW w:w="1075" w:type="dxa"/>
            <w:vAlign w:val="center"/>
          </w:tcPr>
          <w:p>
            <w:r>
              <w:t>19.0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3002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23.20</w:t>
            </w:r>
          </w:p>
        </w:tc>
        <w:tc>
          <w:tcPr>
            <w:tcW w:w="1075" w:type="dxa"/>
            <w:vAlign w:val="center"/>
          </w:tcPr>
          <w:p>
            <w:r>
              <w:t>18.5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3005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20.59</w:t>
            </w:r>
          </w:p>
        </w:tc>
        <w:tc>
          <w:tcPr>
            <w:tcW w:w="1075" w:type="dxa"/>
            <w:vAlign w:val="center"/>
          </w:tcPr>
          <w:p>
            <w:r>
              <w:t>16.3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3004</w:t>
            </w:r>
          </w:p>
        </w:tc>
        <w:tc>
          <w:tcPr>
            <w:tcW w:w="1075" w:type="dxa"/>
            <w:vAlign w:val="center"/>
          </w:tcPr>
          <w:p>
            <w:r>
              <w:t>办公室</w:t>
            </w:r>
          </w:p>
        </w:tc>
        <w:tc>
          <w:tcPr>
            <w:tcW w:w="707" w:type="dxa"/>
            <w:vAlign w:val="center"/>
          </w:tcPr>
          <w:p>
            <w:r>
              <w:t>III</w:t>
            </w:r>
          </w:p>
        </w:tc>
        <w:tc>
          <w:tcPr>
            <w:tcW w:w="707" w:type="dxa"/>
            <w:vAlign w:val="center"/>
          </w:tcPr>
          <w:p>
            <w:r>
              <w:t>侧面</w:t>
            </w:r>
          </w:p>
        </w:tc>
        <w:tc>
          <w:tcPr>
            <w:tcW w:w="1443" w:type="dxa"/>
            <w:vAlign w:val="center"/>
          </w:tcPr>
          <w:p>
            <w:r>
              <w:t>25.81</w:t>
            </w:r>
          </w:p>
        </w:tc>
        <w:tc>
          <w:tcPr>
            <w:tcW w:w="1075" w:type="dxa"/>
            <w:vAlign w:val="center"/>
          </w:tcPr>
          <w:p>
            <w:r>
              <w:t>16.3</w:t>
            </w:r>
          </w:p>
        </w:tc>
        <w:tc>
          <w:tcPr>
            <w:tcW w:w="1075" w:type="dxa"/>
            <w:vAlign w:val="center"/>
          </w:tcPr>
          <w:p>
            <w:r>
              <w:t>25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4" w:name="房间眩光表"/>
      <w:bookmarkEnd w:id="44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91230932"/>
      <w:r>
        <w:rPr>
          <w:rFonts w:hint="eastAsia" w:ascii="微软雅黑" w:hAnsi="微软雅黑"/>
        </w:rPr>
        <w:t>采光均匀度</w:t>
      </w:r>
      <w:bookmarkEnd w:id="45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E6E6E6"/>
            <w:vAlign w:val="center"/>
          </w:tcPr>
          <w:p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2008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13.23</w:t>
            </w:r>
          </w:p>
        </w:tc>
        <w:tc>
          <w:tcPr>
            <w:tcW w:w="1075" w:type="dxa"/>
            <w:vAlign w:val="center"/>
          </w:tcPr>
          <w:p>
            <w:r>
              <w:t>3.49</w:t>
            </w:r>
          </w:p>
        </w:tc>
        <w:tc>
          <w:tcPr>
            <w:tcW w:w="1075" w:type="dxa"/>
            <w:vAlign w:val="center"/>
          </w:tcPr>
          <w:p>
            <w:r>
              <w:t>3.79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2010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13.72</w:t>
            </w:r>
          </w:p>
        </w:tc>
        <w:tc>
          <w:tcPr>
            <w:tcW w:w="1075" w:type="dxa"/>
            <w:vAlign w:val="center"/>
          </w:tcPr>
          <w:p>
            <w:r>
              <w:t>3.87</w:t>
            </w:r>
          </w:p>
        </w:tc>
        <w:tc>
          <w:tcPr>
            <w:tcW w:w="1075" w:type="dxa"/>
            <w:vAlign w:val="center"/>
          </w:tcPr>
          <w:p>
            <w:r>
              <w:t>3.54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2014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13.36</w:t>
            </w:r>
          </w:p>
        </w:tc>
        <w:tc>
          <w:tcPr>
            <w:tcW w:w="1075" w:type="dxa"/>
            <w:vAlign w:val="center"/>
          </w:tcPr>
          <w:p>
            <w:r>
              <w:t>4.00</w:t>
            </w:r>
          </w:p>
        </w:tc>
        <w:tc>
          <w:tcPr>
            <w:tcW w:w="1075" w:type="dxa"/>
            <w:vAlign w:val="center"/>
          </w:tcPr>
          <w:p>
            <w:r>
              <w:t>3.34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2015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14.31</w:t>
            </w:r>
          </w:p>
        </w:tc>
        <w:tc>
          <w:tcPr>
            <w:tcW w:w="1075" w:type="dxa"/>
            <w:vAlign w:val="center"/>
          </w:tcPr>
          <w:p>
            <w:r>
              <w:t>5.22</w:t>
            </w:r>
          </w:p>
        </w:tc>
        <w:tc>
          <w:tcPr>
            <w:tcW w:w="1075" w:type="dxa"/>
            <w:vAlign w:val="center"/>
          </w:tcPr>
          <w:p>
            <w:r>
              <w:t>2.74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2016</w:t>
            </w:r>
          </w:p>
        </w:tc>
        <w:tc>
          <w:tcPr>
            <w:tcW w:w="1245" w:type="dxa"/>
            <w:vAlign w:val="center"/>
          </w:tcPr>
          <w:p>
            <w:r>
              <w:t>文物修复室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13.69</w:t>
            </w:r>
          </w:p>
        </w:tc>
        <w:tc>
          <w:tcPr>
            <w:tcW w:w="1075" w:type="dxa"/>
            <w:vAlign w:val="center"/>
          </w:tcPr>
          <w:p>
            <w:r>
              <w:t>4.28</w:t>
            </w:r>
          </w:p>
        </w:tc>
        <w:tc>
          <w:tcPr>
            <w:tcW w:w="1075" w:type="dxa"/>
            <w:vAlign w:val="center"/>
          </w:tcPr>
          <w:p>
            <w:r>
              <w:t>3.20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3001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13.89</w:t>
            </w:r>
          </w:p>
        </w:tc>
        <w:tc>
          <w:tcPr>
            <w:tcW w:w="1075" w:type="dxa"/>
            <w:vAlign w:val="center"/>
          </w:tcPr>
          <w:p>
            <w:r>
              <w:t>3.59</w:t>
            </w:r>
          </w:p>
        </w:tc>
        <w:tc>
          <w:tcPr>
            <w:tcW w:w="1075" w:type="dxa"/>
            <w:vAlign w:val="center"/>
          </w:tcPr>
          <w:p>
            <w:r>
              <w:t>3.87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3002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13.79</w:t>
            </w:r>
          </w:p>
        </w:tc>
        <w:tc>
          <w:tcPr>
            <w:tcW w:w="1075" w:type="dxa"/>
            <w:vAlign w:val="center"/>
          </w:tcPr>
          <w:p>
            <w:r>
              <w:t>3.95</w:t>
            </w:r>
          </w:p>
        </w:tc>
        <w:tc>
          <w:tcPr>
            <w:tcW w:w="1075" w:type="dxa"/>
            <w:vAlign w:val="center"/>
          </w:tcPr>
          <w:p>
            <w:r>
              <w:t>3.49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3004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13.68</w:t>
            </w:r>
          </w:p>
        </w:tc>
        <w:tc>
          <w:tcPr>
            <w:tcW w:w="1075" w:type="dxa"/>
            <w:vAlign w:val="center"/>
          </w:tcPr>
          <w:p>
            <w:r>
              <w:t>3.66</w:t>
            </w:r>
          </w:p>
        </w:tc>
        <w:tc>
          <w:tcPr>
            <w:tcW w:w="1075" w:type="dxa"/>
            <w:vAlign w:val="center"/>
          </w:tcPr>
          <w:p>
            <w:r>
              <w:t>3.74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3005</w:t>
            </w:r>
          </w:p>
        </w:tc>
        <w:tc>
          <w:tcPr>
            <w:tcW w:w="1245" w:type="dxa"/>
            <w:vAlign w:val="center"/>
          </w:tcPr>
          <w:p>
            <w:r>
              <w:t>办公室</w:t>
            </w:r>
          </w:p>
        </w:tc>
        <w:tc>
          <w:tcPr>
            <w:tcW w:w="792" w:type="dxa"/>
            <w:vAlign w:val="center"/>
          </w:tcPr>
          <w:p>
            <w:r>
              <w:t>III</w:t>
            </w:r>
          </w:p>
        </w:tc>
        <w:tc>
          <w:tcPr>
            <w:tcW w:w="848" w:type="dxa"/>
            <w:vAlign w:val="center"/>
          </w:tcPr>
          <w:p>
            <w:r>
              <w:t>侧面</w:t>
            </w:r>
          </w:p>
        </w:tc>
        <w:tc>
          <w:tcPr>
            <w:tcW w:w="1075" w:type="dxa"/>
            <w:vAlign w:val="center"/>
          </w:tcPr>
          <w:p>
            <w:r>
              <w:t>13.74</w:t>
            </w:r>
          </w:p>
        </w:tc>
        <w:tc>
          <w:tcPr>
            <w:tcW w:w="1075" w:type="dxa"/>
            <w:vAlign w:val="center"/>
          </w:tcPr>
          <w:p>
            <w:r>
              <w:t>4.19</w:t>
            </w:r>
          </w:p>
        </w:tc>
        <w:tc>
          <w:tcPr>
            <w:tcW w:w="1075" w:type="dxa"/>
            <w:vAlign w:val="center"/>
          </w:tcPr>
          <w:p>
            <w:r>
              <w:t>3.28</w:t>
            </w:r>
          </w:p>
        </w:tc>
        <w:tc>
          <w:tcPr>
            <w:tcW w:w="990" w:type="dxa"/>
            <w:vAlign w:val="center"/>
          </w:tcPr>
          <w:p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6" w:name="光均匀度表"/>
      <w:bookmarkEnd w:id="46"/>
    </w:p>
    <w:p>
      <w:pPr>
        <w:pStyle w:val="2"/>
        <w:rPr>
          <w:rFonts w:ascii="微软雅黑" w:hAnsi="微软雅黑"/>
        </w:rPr>
      </w:pPr>
      <w:bookmarkStart w:id="47" w:name="_Toc91230933"/>
      <w:r>
        <w:rPr>
          <w:rFonts w:hint="eastAsia" w:ascii="微软雅黑" w:hAnsi="微软雅黑"/>
        </w:rPr>
        <w:t>评价结论</w:t>
      </w:r>
      <w:bookmarkEnd w:id="47"/>
    </w:p>
    <w:p>
      <w:pPr>
        <w:pStyle w:val="32"/>
        <w:ind w:firstLine="420" w:firstLineChars="200"/>
      </w:pPr>
      <w:r>
        <w:t>通过计算分析，依据《建筑采光设计标准》GB 50033-2013对本项目的</w:t>
      </w:r>
      <w:r>
        <w:rPr>
          <w:u w:val="single"/>
        </w:rPr>
        <w:t xml:space="preserve"> </w:t>
      </w:r>
      <w:bookmarkStart w:id="48" w:name="眩光评价房间数"/>
      <w:r>
        <w:rPr>
          <w:u w:val="single"/>
        </w:rPr>
        <w:t>9</w:t>
      </w:r>
      <w:bookmarkEnd w:id="48"/>
      <w:r>
        <w:rPr>
          <w:u w:val="single"/>
        </w:rPr>
        <w:t xml:space="preserve"> </w:t>
      </w:r>
      <w:r>
        <w:t>个主要功能房间进行眩光分析计算，其中</w:t>
      </w:r>
      <w:r>
        <w:rPr>
          <w:u w:val="single"/>
        </w:rPr>
        <w:t xml:space="preserve"> </w:t>
      </w:r>
      <w:bookmarkStart w:id="49" w:name="眩光不达标房间数"/>
      <w:r>
        <w:rPr>
          <w:u w:val="single"/>
        </w:rPr>
        <w:t>0</w:t>
      </w:r>
      <w:bookmarkEnd w:id="49"/>
      <w:r>
        <w:rPr>
          <w:u w:val="single"/>
        </w:rPr>
        <w:t xml:space="preserve"> </w:t>
      </w:r>
      <w:r>
        <w:t>个房间不满足标准限值要求，其中</w:t>
      </w:r>
      <w:r>
        <w:rPr>
          <w:u w:val="single"/>
        </w:rPr>
        <w:t xml:space="preserve"> </w:t>
      </w:r>
      <w:bookmarkStart w:id="50" w:name="光均匀度不达标房间数"/>
      <w:r>
        <w:rPr>
          <w:u w:val="single"/>
        </w:rPr>
        <w:t>0</w:t>
      </w:r>
      <w:bookmarkEnd w:id="50"/>
      <w:r>
        <w:rPr>
          <w:u w:val="single"/>
        </w:rPr>
        <w:t xml:space="preserve"> </w:t>
      </w:r>
      <w:r>
        <w:t>个房间不满足</w:t>
      </w:r>
      <w:r>
        <w:rPr>
          <w:rFonts w:hint="eastAsia"/>
        </w:rPr>
        <w:t>采光均匀度要求</w:t>
      </w:r>
      <w:r>
        <w:t>。</w:t>
      </w:r>
    </w:p>
    <w:p>
      <w:pPr>
        <w:pStyle w:val="32"/>
        <w:ind w:firstLine="420" w:firstLineChars="200"/>
      </w:pPr>
      <w:r>
        <w:t>根据</w:t>
      </w:r>
      <w:r>
        <w:rPr>
          <w:rFonts w:hint="eastAsia"/>
        </w:rPr>
        <w:t>《</w:t>
      </w:r>
      <w:r>
        <w:t>绿色建筑评价标准</w:t>
      </w:r>
      <w:r>
        <w:rPr>
          <w:rFonts w:hint="eastAsia"/>
        </w:rPr>
        <w:t>》 GB</w:t>
      </w:r>
      <w:r>
        <w:t>/T 50378-2019的5.2.8条款要求，本项目合理控制眩光项得分为</w:t>
      </w:r>
      <w:r>
        <w:rPr>
          <w:u w:val="single"/>
        </w:rPr>
        <w:t xml:space="preserve"> </w:t>
      </w:r>
      <w:bookmarkStart w:id="51" w:name="眩光评价得分"/>
      <w:r>
        <w:rPr>
          <w:u w:val="single"/>
        </w:rPr>
        <w:t>3</w:t>
      </w:r>
      <w:bookmarkEnd w:id="51"/>
      <w:r>
        <w:rPr>
          <w:u w:val="single"/>
        </w:rPr>
        <w:t xml:space="preserve"> </w:t>
      </w:r>
      <w:r>
        <w:t>分。</w:t>
      </w:r>
    </w:p>
    <w:p>
      <w:pPr>
        <w:pStyle w:val="3"/>
        <w:spacing w:line="240" w:lineRule="auto"/>
        <w:ind w:firstLine="0" w:firstLineChars="0"/>
        <w:rPr>
          <w:rFonts w:ascii="微软雅黑" w:hAnsi="微软雅黑" w:eastAsia="微软雅黑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微软雅黑" w:hAnsi="微软雅黑"/>
        </w:rPr>
      </w:pPr>
      <w:bookmarkStart w:id="52" w:name="_Toc91230934"/>
      <w:r>
        <w:rPr>
          <w:rFonts w:hint="eastAsia" w:ascii="微软雅黑" w:hAnsi="微软雅黑"/>
        </w:rPr>
        <w:t>附：</w:t>
      </w:r>
      <w:r>
        <w:rPr>
          <w:rFonts w:ascii="微软雅黑" w:hAnsi="微软雅黑"/>
        </w:rPr>
        <w:t>项目总平面图</w:t>
      </w:r>
      <w:bookmarkEnd w:id="52"/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3" w:name="总平面图"/>
      <w:bookmarkEnd w:id="53"/>
      <w:r>
        <w:drawing>
          <wp:inline distT="0" distB="0" distL="0" distR="0">
            <wp:extent cx="5667375" cy="4162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enter" w:pos="4535"/>
        <w:tab w:val="right" w:pos="9070"/>
        <w:tab w:val="clear" w:pos="4153"/>
        <w:tab w:val="clear" w:pos="8306"/>
      </w:tabs>
      <w:ind w:left="180" w:right="180" w:firstLine="420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8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ali2</w:t>
    </w:r>
    <w:r>
      <w:t>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0" distR="0">
          <wp:extent cx="975360" cy="25908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80" w:right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01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0C01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272BC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C2845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634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jc w:val="left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wmf"/><Relationship Id="rId12" Type="http://schemas.openxmlformats.org/officeDocument/2006/relationships/oleObject" Target="embeddings/oleObject2.bin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883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ADCB4-1DCB-4BE6-A6ED-915A4DD719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gbsware</Company>
  <Pages>10</Pages>
  <Words>802</Words>
  <Characters>4573</Characters>
  <Lines>38</Lines>
  <Paragraphs>10</Paragraphs>
  <TotalTime>0</TotalTime>
  <ScaleCrop>false</ScaleCrop>
  <LinksUpToDate>false</LinksUpToDate>
  <CharactersWithSpaces>5365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2021-12-24T01:35:00Z</dcterms:created>
  <dc:creator>De_ Ran</dc:creator>
  <cp:lastModifiedBy>lenovo</cp:lastModifiedBy>
  <cp:lastPrinted>2411-12-31T16:00:00Z</cp:lastPrinted>
  <dcterms:modified xsi:type="dcterms:W3CDTF">2022-01-05T03:30:12Z</dcterms:modified>
  <dc:title>眩光分析报告书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