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eastAsia" w:ascii="宋体" w:hAnsi="宋体" w:eastAsia="宋体"/>
                <w:szCs w:val="21"/>
                <w:lang w:eastAsia="zh-CN"/>
              </w:rPr>
            </w:pPr>
            <w:r>
              <w:rPr>
                <w:rFonts w:hint="eastAsia" w:ascii="宋体" w:hAnsi="宋体"/>
                <w:szCs w:val="21"/>
                <w:lang w:val="en-US" w:eastAsia="zh-CN"/>
              </w:rPr>
              <w:t>展览馆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0" w:name="地理位置"/>
            <w:r>
              <w:t>福建-福州</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hint="eastAsia" w:ascii="宋体" w:hAnsi="宋体"/>
                <w:szCs w:val="21"/>
              </w:rPr>
              <w:t>2022年3月7日</w:t>
            </w:r>
            <w:bookmarkEnd w:id="4"/>
          </w:p>
        </w:tc>
      </w:tr>
    </w:tbl>
    <w:p>
      <w:pPr>
        <w:jc w:val="center"/>
        <w:rPr>
          <w:rFonts w:ascii="宋体" w:hAnsi="宋体"/>
          <w:szCs w:val="18"/>
          <w:lang w:val="en-US"/>
        </w:rPr>
      </w:pPr>
    </w:p>
    <w:p>
      <w:pPr>
        <w:jc w:val="center"/>
        <w:rPr>
          <w:rFonts w:ascii="宋体" w:hAnsi="宋体"/>
          <w:bCs/>
          <w:szCs w:val="18"/>
        </w:rPr>
      </w:pPr>
      <w:bookmarkStart w:id="5" w:name="二维码"/>
      <w:bookmarkEnd w:id="5"/>
      <w:r>
        <w:drawing>
          <wp:inline distT="0" distB="0" distL="0" distR="0">
            <wp:extent cx="1514475" cy="15144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t>节能设计BECS2020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7" w:name="软件版本"/>
            <w:r>
              <w:rPr>
                <w:rFonts w:hint="eastAsia" w:ascii="宋体" w:hAnsi="宋体"/>
                <w:szCs w:val="18"/>
              </w:rPr>
              <w:t>20210101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8" w:name="加密锁号"/>
            <w:r>
              <w:rPr>
                <w:rFonts w:hint="eastAsia" w:ascii="宋体" w:hAnsi="宋体"/>
                <w:szCs w:val="18"/>
              </w:rPr>
              <w:t>T18350325412</w:t>
            </w:r>
            <w:bookmarkEnd w:id="8"/>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9"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_Toc32511 </w:instrText>
      </w:r>
      <w:r>
        <w:rPr>
          <w:rFonts w:ascii="宋体" w:hAnsi="宋体"/>
          <w:bCs w:val="0"/>
          <w:caps/>
        </w:rPr>
        <w:fldChar w:fldCharType="separate"/>
      </w:r>
      <w:r>
        <w:rPr>
          <w:rFonts w:hint="eastAsia"/>
        </w:rPr>
        <w:t>1 建筑概况</w:t>
      </w:r>
      <w:r>
        <w:tab/>
      </w:r>
      <w:r>
        <w:fldChar w:fldCharType="begin"/>
      </w:r>
      <w:r>
        <w:instrText xml:space="preserve"> PAGEREF _Toc32511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_Toc26333 </w:instrText>
      </w:r>
      <w:r>
        <w:fldChar w:fldCharType="separate"/>
      </w:r>
      <w:r>
        <w:rPr>
          <w:rFonts w:hint="eastAsia"/>
        </w:rPr>
        <w:t>2 评价依据</w:t>
      </w:r>
      <w:r>
        <w:tab/>
      </w:r>
      <w:r>
        <w:fldChar w:fldCharType="begin"/>
      </w:r>
      <w:r>
        <w:instrText xml:space="preserve"> PAGEREF _Toc26333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_Toc2487 </w:instrText>
      </w:r>
      <w:r>
        <w:fldChar w:fldCharType="separate"/>
      </w:r>
      <w:r>
        <w:rPr>
          <w:rFonts w:hint="eastAsia"/>
        </w:rPr>
        <w:t>3 评价目标与方法</w:t>
      </w:r>
      <w:r>
        <w:tab/>
      </w:r>
      <w:r>
        <w:fldChar w:fldCharType="begin"/>
      </w:r>
      <w:r>
        <w:instrText xml:space="preserve"> PAGEREF _Toc2487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_Toc4288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_Toc4288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_Toc28687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_Toc28687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_Toc27471 </w:instrText>
      </w:r>
      <w:r>
        <w:fldChar w:fldCharType="separate"/>
      </w:r>
      <w:r>
        <w:rPr>
          <w:rFonts w:hint="eastAsia"/>
        </w:rPr>
        <w:t xml:space="preserve">4 </w:t>
      </w:r>
      <w:r>
        <w:rPr>
          <w:lang w:val="zh-CN"/>
        </w:rPr>
        <w:t>外窗构造与遮阳类型</w:t>
      </w:r>
      <w:r>
        <w:tab/>
      </w:r>
      <w:r>
        <w:fldChar w:fldCharType="begin"/>
      </w:r>
      <w:r>
        <w:instrText xml:space="preserve"> PAGEREF _Toc27471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_Toc2737 </w:instrText>
      </w:r>
      <w:r>
        <w:fldChar w:fldCharType="separate"/>
      </w:r>
      <w:r>
        <w:rPr>
          <w:rFonts w:hint="eastAsia"/>
          <w:lang w:val="en-GB"/>
        </w:rPr>
        <w:t xml:space="preserve">4.1 </w:t>
      </w:r>
      <w:r>
        <w:t>外窗构造</w:t>
      </w:r>
      <w:r>
        <w:tab/>
      </w:r>
      <w:r>
        <w:fldChar w:fldCharType="begin"/>
      </w:r>
      <w:r>
        <w:instrText xml:space="preserve"> PAGEREF _Toc2737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_Toc8983 </w:instrText>
      </w:r>
      <w:r>
        <w:fldChar w:fldCharType="separate"/>
      </w:r>
      <w:r>
        <w:rPr>
          <w:rFonts w:hint="eastAsia"/>
          <w:lang w:val="en-GB"/>
        </w:rPr>
        <w:t xml:space="preserve">4.2 </w:t>
      </w:r>
      <w:r>
        <w:t>遮阳类型</w:t>
      </w:r>
      <w:r>
        <w:tab/>
      </w:r>
      <w:r>
        <w:fldChar w:fldCharType="begin"/>
      </w:r>
      <w:r>
        <w:instrText xml:space="preserve"> PAGEREF _Toc8983 \h </w:instrText>
      </w:r>
      <w:r>
        <w:fldChar w:fldCharType="separate"/>
      </w:r>
      <w:r>
        <w:t>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_Toc14453 </w:instrText>
      </w:r>
      <w:r>
        <w:fldChar w:fldCharType="separate"/>
      </w:r>
      <w:r>
        <w:rPr>
          <w:rFonts w:hint="eastAsia" w:eastAsia="宋体"/>
          <w:szCs w:val="24"/>
          <w:lang w:val="en-GB"/>
        </w:rPr>
        <w:t xml:space="preserve">4.2.1 </w:t>
      </w:r>
      <w:r>
        <w:t>自定义遮阳</w:t>
      </w:r>
      <w:r>
        <w:tab/>
      </w:r>
      <w:r>
        <w:fldChar w:fldCharType="begin"/>
      </w:r>
      <w:r>
        <w:instrText xml:space="preserve"> PAGEREF _Toc14453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_Toc22043 </w:instrText>
      </w:r>
      <w:r>
        <w:fldChar w:fldCharType="separate"/>
      </w:r>
      <w:r>
        <w:rPr>
          <w:rFonts w:hint="eastAsia"/>
        </w:rPr>
        <w:t xml:space="preserve">5 </w:t>
      </w:r>
      <w:r>
        <w:t>统计汇总</w:t>
      </w:r>
      <w:r>
        <w:tab/>
      </w:r>
      <w:r>
        <w:fldChar w:fldCharType="begin"/>
      </w:r>
      <w:r>
        <w:instrText xml:space="preserve"> PAGEREF _Toc22043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_Toc14229 </w:instrText>
      </w:r>
      <w:r>
        <w:fldChar w:fldCharType="separate"/>
      </w:r>
      <w:r>
        <w:rPr>
          <w:rFonts w:hint="eastAsia"/>
          <w:lang w:val="en-GB"/>
        </w:rPr>
        <w:t xml:space="preserve">5.1 </w:t>
      </w:r>
      <w:r>
        <w:t>各朝向遮阳设施统计</w:t>
      </w:r>
      <w:r>
        <w:tab/>
      </w:r>
      <w:r>
        <w:fldChar w:fldCharType="begin"/>
      </w:r>
      <w:r>
        <w:instrText xml:space="preserve"> PAGEREF _Toc14229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_Toc10451 </w:instrText>
      </w:r>
      <w:r>
        <w:fldChar w:fldCharType="separate"/>
      </w:r>
      <w:r>
        <w:rPr>
          <w:rFonts w:hint="eastAsia"/>
          <w:lang w:val="en-GB"/>
        </w:rPr>
        <w:t xml:space="preserve">5.2 </w:t>
      </w:r>
      <w:r>
        <w:t>汇总</w:t>
      </w:r>
      <w:r>
        <w:tab/>
      </w:r>
      <w:r>
        <w:fldChar w:fldCharType="begin"/>
      </w:r>
      <w:r>
        <w:instrText xml:space="preserve"> PAGEREF _Toc10451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_Toc1353 </w:instrText>
      </w:r>
      <w:r>
        <w:fldChar w:fldCharType="separate"/>
      </w:r>
      <w:r>
        <w:rPr>
          <w:rFonts w:hint="eastAsia"/>
        </w:rPr>
        <w:t xml:space="preserve">6 </w:t>
      </w:r>
      <w:r>
        <w:t>结论</w:t>
      </w:r>
      <w:r>
        <w:tab/>
      </w:r>
      <w:r>
        <w:fldChar w:fldCharType="begin"/>
      </w:r>
      <w:r>
        <w:instrText xml:space="preserve"> PAGEREF _Toc1353 \h </w:instrText>
      </w:r>
      <w:r>
        <w:fldChar w:fldCharType="separate"/>
      </w:r>
      <w:r>
        <w:t>5</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rPr>
          <w:b/>
          <w:bCs/>
          <w:kern w:val="32"/>
          <w:sz w:val="28"/>
          <w:szCs w:val="28"/>
          <w:lang w:val="en-US"/>
        </w:rPr>
      </w:pPr>
    </w:p>
    <w:p>
      <w:pPr>
        <w:pStyle w:val="2"/>
      </w:pPr>
      <w:bookmarkStart w:id="10" w:name="_Toc38789037"/>
      <w:bookmarkStart w:id="11" w:name="_Toc32511"/>
      <w:bookmarkStart w:id="12" w:name="_Toc38789334"/>
      <w:r>
        <w:rPr>
          <w:rFonts w:hint="eastAsia"/>
        </w:rPr>
        <w:t>建筑概况</w:t>
      </w:r>
      <w:bookmarkEnd w:id="9"/>
      <w:bookmarkEnd w:id="10"/>
      <w:bookmarkEnd w:id="11"/>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3" w:name="工程名称"/>
            <w:r>
              <w:t>民宿</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4" w:name="工程地点"/>
            <w:r>
              <w:t>福建-福州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5" w:name="气候分区"/>
            <w:r>
              <w:t>夏热冬暖北区</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226</w:t>
            </w:r>
            <w:bookmarkEnd w:id="16"/>
            <w:r>
              <w:rPr>
                <w:rFonts w:hint="eastAsia" w:ascii="宋体" w:hAnsi="宋体"/>
              </w:rPr>
              <w:t>㎡</w:t>
            </w:r>
            <w:r>
              <w:rPr>
                <w:rFonts w:hint="eastAsia" w:ascii="宋体" w:hAnsi="宋体"/>
                <w:lang w:val="en-US"/>
              </w:rPr>
              <w:t xml:space="preserve">    地下</w:t>
            </w:r>
            <w:bookmarkStart w:id="17" w:name="地下建筑面积"/>
            <w:r>
              <w:rPr>
                <w:rFonts w:hint="eastAsia" w:ascii="宋体" w:hAnsi="宋体"/>
                <w:lang w:val="en-US"/>
              </w:rPr>
              <w:t>0</w:t>
            </w:r>
            <w:bookmarkEnd w:id="17"/>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0" w:name="地上建筑高度"/>
            <w:r>
              <w:rPr>
                <w:rFonts w:hint="eastAsia" w:ascii="宋体" w:hAnsi="宋体"/>
                <w:lang w:val="en-US"/>
              </w:rPr>
              <w:t>13.5</w:t>
            </w:r>
            <w:bookmarkEnd w:id="20"/>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1" w:name="结构类型"/>
            <w:bookmarkEnd w:id="21"/>
          </w:p>
        </w:tc>
      </w:tr>
    </w:tbl>
    <w:p>
      <w:pPr>
        <w:pStyle w:val="2"/>
      </w:pPr>
      <w:bookmarkStart w:id="22" w:name="_Toc38788904"/>
      <w:bookmarkStart w:id="23" w:name="_Toc38789335"/>
      <w:bookmarkStart w:id="24" w:name="_Toc38789038"/>
      <w:bookmarkStart w:id="25" w:name="_Toc26333"/>
      <w:bookmarkStart w:id="26" w:name="TitleFormat"/>
      <w:r>
        <w:rPr>
          <w:rFonts w:hint="eastAsia"/>
        </w:rPr>
        <w:t>评价依据</w:t>
      </w:r>
      <w:bookmarkEnd w:id="22"/>
      <w:bookmarkEnd w:id="23"/>
      <w:bookmarkEnd w:id="24"/>
      <w:bookmarkEnd w:id="25"/>
    </w:p>
    <w:bookmarkEnd w:id="26"/>
    <w:p>
      <w:pPr>
        <w:widowControl w:val="0"/>
        <w:jc w:val="both"/>
        <w:rPr>
          <w:kern w:val="2"/>
          <w:lang w:val="en-US"/>
        </w:rPr>
      </w:pPr>
      <w:r>
        <w:rPr>
          <w:rFonts w:hint="eastAsia"/>
          <w:kern w:val="2"/>
          <w:szCs w:val="24"/>
          <w:lang w:val="en-US"/>
        </w:rPr>
        <w:t>1.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7" w:name="_Toc38789024"/>
      <w:bookmarkStart w:id="28" w:name="_Toc38789314"/>
      <w:bookmarkStart w:id="29" w:name="_Toc38788252"/>
      <w:bookmarkStart w:id="30" w:name="_Toc2487"/>
      <w:r>
        <w:rPr>
          <w:rFonts w:hint="eastAsia"/>
        </w:rPr>
        <w:t>评价目标与方法</w:t>
      </w:r>
      <w:bookmarkEnd w:id="27"/>
      <w:bookmarkEnd w:id="28"/>
      <w:bookmarkEnd w:id="29"/>
      <w:bookmarkEnd w:id="30"/>
    </w:p>
    <w:p>
      <w:pPr>
        <w:pStyle w:val="4"/>
        <w:rPr>
          <w:kern w:val="2"/>
        </w:rPr>
      </w:pPr>
      <w:bookmarkStart w:id="31" w:name="_Toc38789315"/>
      <w:bookmarkStart w:id="32" w:name="_Toc4288"/>
      <w:bookmarkStart w:id="33" w:name="_Toc38788253"/>
      <w:bookmarkStart w:id="34" w:name="_Toc38789025"/>
      <w:r>
        <w:rPr>
          <w:rFonts w:hint="eastAsia"/>
          <w:kern w:val="2"/>
        </w:rPr>
        <w:t>评价目标</w:t>
      </w:r>
      <w:bookmarkEnd w:id="31"/>
      <w:bookmarkEnd w:id="32"/>
      <w:bookmarkEnd w:id="33"/>
      <w:bookmarkEnd w:id="34"/>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绿色建筑评价标准</w:t>
      </w:r>
      <w:r>
        <w:rPr>
          <w:rFonts w:ascii="宋体" w:hAnsi="宋体"/>
          <w:kern w:val="2"/>
          <w:szCs w:val="21"/>
          <w:lang w:val="en-US"/>
        </w:rPr>
        <w:t>》</w:t>
      </w:r>
      <w:r>
        <w:rPr>
          <w:kern w:val="2"/>
          <w:szCs w:val="24"/>
          <w:lang w:val="en-US"/>
        </w:rPr>
        <w:t>GB/T 50378</w:t>
      </w:r>
      <w:r>
        <w:rPr>
          <w:rFonts w:hint="eastAsia"/>
          <w:kern w:val="2"/>
          <w:szCs w:val="24"/>
          <w:lang w:val="en-US"/>
        </w:rPr>
        <w:t>-2019</w:t>
      </w:r>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5" w:name="_Toc28687"/>
      <w:bookmarkStart w:id="36" w:name="_Toc38788254"/>
      <w:bookmarkStart w:id="37" w:name="_Toc38789026"/>
      <w:bookmarkStart w:id="38" w:name="_Toc38789316"/>
      <w:r>
        <w:rPr>
          <w:rFonts w:hint="eastAsia"/>
          <w:kern w:val="2"/>
        </w:rPr>
        <w:t>评价方法</w:t>
      </w:r>
      <w:bookmarkEnd w:id="35"/>
      <w:bookmarkEnd w:id="36"/>
      <w:bookmarkEnd w:id="37"/>
      <w:bookmarkEnd w:id="38"/>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widowControl w:val="0"/>
        <w:jc w:val="both"/>
        <w:rPr>
          <w:kern w:val="2"/>
          <w:lang w:val="en-US"/>
        </w:rPr>
      </w:pPr>
    </w:p>
    <w:p>
      <w:pPr>
        <w:pStyle w:val="2"/>
      </w:pPr>
      <w:bookmarkStart w:id="39" w:name="_Toc27471"/>
      <w:r>
        <w:rPr>
          <w:lang w:val="zh-CN"/>
        </w:rPr>
        <w:t>外窗构造与遮阳类型</w:t>
      </w:r>
      <w:bookmarkEnd w:id="39"/>
    </w:p>
    <w:p>
      <w:pPr>
        <w:pStyle w:val="4"/>
      </w:pPr>
      <w:bookmarkStart w:id="40" w:name="_Toc2737"/>
      <w:r>
        <w:t>外窗构造</w:t>
      </w:r>
      <w:bookmarkEnd w:id="40"/>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整窗遮阳</w:t>
            </w:r>
          </w:p>
        </w:tc>
        <w:tc>
          <w:tcPr>
            <w:shd w:val="clear" w:color="auto" w:fill="E6E6E6"/>
            <w:vAlign w:val="center"/>
          </w:tcPr>
          <w:p>
            <w:pPr>
              <w:jc w:val="center"/>
            </w:pPr>
            <w:r>
              <w:t>是否中置遮阳</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胶粉聚苯颗粒15+无溶剂聚氨酯硬泡60+钢筋混凝土200+混合砂浆20</w:t>
            </w:r>
          </w:p>
        </w:tc>
        <w:tc>
          <w:tcPr>
            <w:vAlign w:val="center"/>
          </w:tcPr>
          <w:p>
            <w:r>
              <w:t>18</w:t>
            </w:r>
          </w:p>
        </w:tc>
        <w:tc>
          <w:tcPr>
            <w:vAlign w:val="center"/>
          </w:tcPr>
          <w:p>
            <w:r>
              <w:t>0.450</w:t>
            </w:r>
          </w:p>
        </w:tc>
        <w:tc>
          <w:tcPr>
            <w:vAlign w:val="center"/>
          </w:tcPr>
          <w:p>
            <w:r>
              <w:t>0.000</w:t>
            </w:r>
          </w:p>
        </w:tc>
        <w:tc>
          <w:tcPr>
            <w:vAlign w:val="center"/>
          </w:tcPr>
          <w:p>
            <w:r>
              <w:t>否</w:t>
            </w:r>
          </w:p>
        </w:tc>
        <w:tc>
          <w:tcPr>
            <w:vAlign w:val="center"/>
          </w:tcPr>
          <w:p>
            <w:r>
              <w:t>福建省工程建设标准DBJ13-62-2004第53页</w:t>
            </w:r>
          </w:p>
        </w:tc>
      </w:tr>
    </w:tbl>
    <w:p>
      <w:pPr>
        <w:pStyle w:val="4"/>
      </w:pPr>
      <w:bookmarkStart w:id="41" w:name="_Toc8983"/>
      <w:r>
        <w:t>遮阳类型</w:t>
      </w:r>
      <w:bookmarkEnd w:id="41"/>
    </w:p>
    <w:p>
      <w:pPr>
        <w:pStyle w:val="5"/>
      </w:pPr>
      <w:bookmarkStart w:id="42" w:name="_Toc14453"/>
      <w:r>
        <w:t>自定义遮阳</w:t>
      </w:r>
      <w:bookmarkEnd w:id="4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夏季遮阳系数</w:t>
            </w:r>
          </w:p>
        </w:tc>
        <w:tc>
          <w:tcPr>
            <w:shd w:val="clear" w:color="auto" w:fill="E6E6E6"/>
            <w:vAlign w:val="center"/>
          </w:tcPr>
          <w:p>
            <w:pPr>
              <w:jc w:val="center"/>
            </w:pPr>
            <w:r>
              <w:t>冬季遮阳系数</w:t>
            </w:r>
          </w:p>
        </w:tc>
        <w:tc>
          <w:tcPr>
            <w:shd w:val="clear" w:color="auto" w:fill="E6E6E6"/>
            <w:vAlign w:val="center"/>
          </w:tcPr>
          <w:p>
            <w:pPr>
              <w:jc w:val="center"/>
            </w:pPr>
            <w:r>
              <w:t>平均遮阳系数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活动遮阳0</w:t>
            </w:r>
          </w:p>
        </w:tc>
        <w:tc>
          <w:tcPr>
            <w:vAlign w:val="center"/>
          </w:tcPr>
          <w:p>
            <w:r>
              <w:t>1.000</w:t>
            </w:r>
          </w:p>
        </w:tc>
        <w:tc>
          <w:tcPr>
            <w:vAlign w:val="center"/>
          </w:tcPr>
          <w:p>
            <w:r>
              <w:t>1.000</w:t>
            </w:r>
          </w:p>
        </w:tc>
        <w:tc>
          <w:tcPr>
            <w:vAlign w:val="center"/>
          </w:tcPr>
          <w:p>
            <w:r>
              <w:t>1.000</w:t>
            </w:r>
          </w:p>
        </w:tc>
        <w:tc>
          <w:tcPr>
            <w:vAlign w:val="center"/>
          </w:tcPr>
          <w:p/>
        </w:tc>
      </w:tr>
    </w:tbl>
    <w:p>
      <w:pPr>
        <w:pStyle w:val="2"/>
      </w:pPr>
      <w:bookmarkStart w:id="43" w:name="_Toc22043"/>
      <w:r>
        <w:t>统计汇总</w:t>
      </w:r>
      <w:bookmarkEnd w:id="43"/>
    </w:p>
    <w:p>
      <w:pPr>
        <w:pStyle w:val="4"/>
      </w:pPr>
      <w:bookmarkStart w:id="44" w:name="_Toc14229"/>
      <w:r>
        <w:t>各朝向遮阳设施统计</w:t>
      </w:r>
      <w:bookmarkEnd w:id="44"/>
    </w:p>
    <w:p>
      <w: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C1830</w:t>
            </w:r>
          </w:p>
        </w:tc>
        <w:tc>
          <w:tcPr>
            <w:vAlign w:val="center"/>
          </w:tcPr>
          <w:p>
            <w:r>
              <w:t>1</w:t>
            </w:r>
          </w:p>
        </w:tc>
        <w:tc>
          <w:tcPr>
            <w:vAlign w:val="center"/>
          </w:tcPr>
          <w:p>
            <w:r>
              <w:t>2</w:t>
            </w:r>
          </w:p>
        </w:tc>
        <w:tc>
          <w:tcPr>
            <w:vAlign w:val="center"/>
          </w:tcPr>
          <w:p>
            <w:r>
              <w:t>7.20</w:t>
            </w:r>
          </w:p>
        </w:tc>
        <w:tc>
          <w:tcPr>
            <w:vAlign w:val="center"/>
          </w:tcPr>
          <w:p>
            <w:r>
              <w:t>14.40</w:t>
            </w:r>
          </w:p>
        </w:tc>
        <w:tc>
          <w:tcPr>
            <w:vAlign w:val="center"/>
          </w:tcPr>
          <w:p>
            <w:r>
              <w:t>69</w:t>
            </w:r>
          </w:p>
        </w:tc>
        <w:tc>
          <w:tcPr>
            <w:vAlign w:val="center"/>
          </w:tcPr>
          <w:p>
            <w:r>
              <w:t>0.00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C1830</w:t>
            </w:r>
          </w:p>
        </w:tc>
        <w:tc>
          <w:tcPr>
            <w:vAlign w:val="center"/>
          </w:tcPr>
          <w:p>
            <w:r>
              <w:t>1</w:t>
            </w:r>
          </w:p>
        </w:tc>
        <w:tc>
          <w:tcPr>
            <w:vAlign w:val="center"/>
          </w:tcPr>
          <w:p>
            <w:r>
              <w:t>8</w:t>
            </w:r>
          </w:p>
        </w:tc>
        <w:tc>
          <w:tcPr>
            <w:vAlign w:val="center"/>
          </w:tcPr>
          <w:p>
            <w:r>
              <w:t>5.40</w:t>
            </w:r>
          </w:p>
        </w:tc>
        <w:tc>
          <w:tcPr>
            <w:vAlign w:val="center"/>
          </w:tcPr>
          <w:p>
            <w:r>
              <w:t>43.20</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C1815</w:t>
            </w:r>
          </w:p>
        </w:tc>
        <w:tc>
          <w:tcPr>
            <w:vAlign w:val="center"/>
          </w:tcPr>
          <w:p>
            <w:r>
              <w:t>2</w:t>
            </w:r>
          </w:p>
        </w:tc>
        <w:tc>
          <w:tcPr>
            <w:vAlign w:val="center"/>
          </w:tcPr>
          <w:p>
            <w:r>
              <w:t>3</w:t>
            </w:r>
          </w:p>
        </w:tc>
        <w:tc>
          <w:tcPr>
            <w:vAlign w:val="center"/>
          </w:tcPr>
          <w:p>
            <w:r>
              <w:t>2.70</w:t>
            </w:r>
          </w:p>
        </w:tc>
        <w:tc>
          <w:tcPr>
            <w:vAlign w:val="center"/>
          </w:tcPr>
          <w:p>
            <w:r>
              <w:t>8.10</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C1830</w:t>
            </w:r>
          </w:p>
        </w:tc>
        <w:tc>
          <w:tcPr>
            <w:vAlign w:val="center"/>
          </w:tcPr>
          <w:p>
            <w:r>
              <w:t>2</w:t>
            </w:r>
          </w:p>
        </w:tc>
        <w:tc>
          <w:tcPr>
            <w:vAlign w:val="center"/>
          </w:tcPr>
          <w:p>
            <w:r>
              <w:t>5</w:t>
            </w:r>
          </w:p>
        </w:tc>
        <w:tc>
          <w:tcPr>
            <w:vAlign w:val="center"/>
          </w:tcPr>
          <w:p>
            <w:r>
              <w:t>5.40</w:t>
            </w:r>
          </w:p>
        </w:tc>
        <w:tc>
          <w:tcPr>
            <w:vAlign w:val="center"/>
          </w:tcPr>
          <w:p>
            <w:r>
              <w:t>27.00</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92.70</w:t>
            </w:r>
          </w:p>
        </w:tc>
        <w:tc>
          <w:tcPr>
            <w:gridSpan w:val="4"/>
            <w:shd w:val="clear" w:color="auto" w:fill="E6E6E6"/>
            <w:vAlign w:val="center"/>
          </w:tcPr>
          <w:p/>
        </w:tc>
      </w:tr>
    </w:tbl>
    <w:p/>
    <w:p>
      <w: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C1830</w:t>
            </w:r>
          </w:p>
        </w:tc>
        <w:tc>
          <w:tcPr>
            <w:vAlign w:val="center"/>
          </w:tcPr>
          <w:p>
            <w:r>
              <w:t>1</w:t>
            </w:r>
          </w:p>
        </w:tc>
        <w:tc>
          <w:tcPr>
            <w:vAlign w:val="center"/>
          </w:tcPr>
          <w:p>
            <w:r>
              <w:t>9</w:t>
            </w:r>
          </w:p>
        </w:tc>
        <w:tc>
          <w:tcPr>
            <w:vAlign w:val="center"/>
          </w:tcPr>
          <w:p>
            <w:r>
              <w:t>2.70</w:t>
            </w:r>
          </w:p>
        </w:tc>
        <w:tc>
          <w:tcPr>
            <w:vAlign w:val="center"/>
          </w:tcPr>
          <w:p>
            <w:r>
              <w:t>24.30</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C0615</w:t>
            </w:r>
          </w:p>
        </w:tc>
        <w:tc>
          <w:tcPr>
            <w:vAlign w:val="center"/>
          </w:tcPr>
          <w:p>
            <w:r>
              <w:t>1</w:t>
            </w:r>
          </w:p>
        </w:tc>
        <w:tc>
          <w:tcPr>
            <w:vAlign w:val="center"/>
          </w:tcPr>
          <w:p>
            <w:r>
              <w:t>1</w:t>
            </w:r>
          </w:p>
        </w:tc>
        <w:tc>
          <w:tcPr>
            <w:vAlign w:val="center"/>
          </w:tcPr>
          <w:p>
            <w:r>
              <w:t>3.42</w:t>
            </w:r>
          </w:p>
        </w:tc>
        <w:tc>
          <w:tcPr>
            <w:vAlign w:val="center"/>
          </w:tcPr>
          <w:p>
            <w:r>
              <w:t>3.42</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C1815</w:t>
            </w:r>
          </w:p>
        </w:tc>
        <w:tc>
          <w:tcPr>
            <w:vAlign w:val="center"/>
          </w:tcPr>
          <w:p>
            <w:r>
              <w:t>2</w:t>
            </w:r>
          </w:p>
        </w:tc>
        <w:tc>
          <w:tcPr>
            <w:vAlign w:val="center"/>
          </w:tcPr>
          <w:p>
            <w:r>
              <w:t>6</w:t>
            </w:r>
          </w:p>
        </w:tc>
        <w:tc>
          <w:tcPr>
            <w:vAlign w:val="center"/>
          </w:tcPr>
          <w:p>
            <w:r>
              <w:t>2.25</w:t>
            </w:r>
          </w:p>
        </w:tc>
        <w:tc>
          <w:tcPr>
            <w:vAlign w:val="center"/>
          </w:tcPr>
          <w:p>
            <w:r>
              <w:t>13.50</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C1830</w:t>
            </w:r>
          </w:p>
        </w:tc>
        <w:tc>
          <w:tcPr>
            <w:vAlign w:val="center"/>
          </w:tcPr>
          <w:p>
            <w:r>
              <w:t>2</w:t>
            </w:r>
          </w:p>
        </w:tc>
        <w:tc>
          <w:tcPr>
            <w:vAlign w:val="center"/>
          </w:tcPr>
          <w:p>
            <w:r>
              <w:t>2</w:t>
            </w:r>
          </w:p>
        </w:tc>
        <w:tc>
          <w:tcPr>
            <w:vAlign w:val="center"/>
          </w:tcPr>
          <w:p>
            <w:r>
              <w:t>2.16</w:t>
            </w:r>
          </w:p>
        </w:tc>
        <w:tc>
          <w:tcPr>
            <w:vAlign w:val="center"/>
          </w:tcPr>
          <w:p>
            <w:r>
              <w:t>4.32</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45.54</w:t>
            </w:r>
          </w:p>
        </w:tc>
        <w:tc>
          <w:tcPr>
            <w:gridSpan w:val="4"/>
            <w:shd w:val="clear" w:color="auto" w:fill="E6E6E6"/>
            <w:vAlign w:val="center"/>
          </w:tcPr>
          <w:p/>
        </w:tc>
      </w:tr>
    </w:tbl>
    <w:p/>
    <w:p>
      <w: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C2130</w:t>
            </w:r>
          </w:p>
        </w:tc>
        <w:tc>
          <w:tcPr>
            <w:vAlign w:val="center"/>
          </w:tcPr>
          <w:p>
            <w:r>
              <w:t>1</w:t>
            </w:r>
          </w:p>
        </w:tc>
        <w:tc>
          <w:tcPr>
            <w:vAlign w:val="center"/>
          </w:tcPr>
          <w:p>
            <w:r>
              <w:t>1</w:t>
            </w:r>
          </w:p>
        </w:tc>
        <w:tc>
          <w:tcPr>
            <w:vAlign w:val="center"/>
          </w:tcPr>
          <w:p>
            <w:r>
              <w:t>6.30</w:t>
            </w:r>
          </w:p>
        </w:tc>
        <w:tc>
          <w:tcPr>
            <w:vAlign w:val="center"/>
          </w:tcPr>
          <w:p>
            <w:r>
              <w:t>6.30</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C1830</w:t>
            </w:r>
          </w:p>
        </w:tc>
        <w:tc>
          <w:tcPr>
            <w:vAlign w:val="center"/>
          </w:tcPr>
          <w:p>
            <w:r>
              <w:t>1</w:t>
            </w:r>
          </w:p>
        </w:tc>
        <w:tc>
          <w:tcPr>
            <w:vAlign w:val="center"/>
          </w:tcPr>
          <w:p>
            <w:r>
              <w:t>4</w:t>
            </w:r>
          </w:p>
        </w:tc>
        <w:tc>
          <w:tcPr>
            <w:vAlign w:val="center"/>
          </w:tcPr>
          <w:p>
            <w:r>
              <w:t>4.18</w:t>
            </w:r>
          </w:p>
        </w:tc>
        <w:tc>
          <w:tcPr>
            <w:vAlign w:val="center"/>
          </w:tcPr>
          <w:p>
            <w:r>
              <w:t>16.72</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C1830</w:t>
            </w:r>
          </w:p>
        </w:tc>
        <w:tc>
          <w:tcPr>
            <w:vAlign w:val="center"/>
          </w:tcPr>
          <w:p>
            <w:r>
              <w:t>2</w:t>
            </w:r>
          </w:p>
        </w:tc>
        <w:tc>
          <w:tcPr>
            <w:vAlign w:val="center"/>
          </w:tcPr>
          <w:p>
            <w:r>
              <w:t>5</w:t>
            </w:r>
          </w:p>
        </w:tc>
        <w:tc>
          <w:tcPr>
            <w:vAlign w:val="center"/>
          </w:tcPr>
          <w:p>
            <w:r>
              <w:t>3.00</w:t>
            </w:r>
          </w:p>
        </w:tc>
        <w:tc>
          <w:tcPr>
            <w:vAlign w:val="center"/>
          </w:tcPr>
          <w:p>
            <w:r>
              <w:t>15.00</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38.02</w:t>
            </w:r>
          </w:p>
        </w:tc>
        <w:tc>
          <w:tcPr>
            <w:gridSpan w:val="4"/>
            <w:shd w:val="clear" w:color="auto" w:fill="E6E6E6"/>
            <w:vAlign w:val="center"/>
          </w:tcPr>
          <w:p/>
        </w:tc>
      </w:tr>
    </w:tbl>
    <w:p/>
    <w:p>
      <w: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C1830</w:t>
            </w:r>
          </w:p>
        </w:tc>
        <w:tc>
          <w:tcPr>
            <w:vAlign w:val="center"/>
          </w:tcPr>
          <w:p>
            <w:r>
              <w:t>1</w:t>
            </w:r>
          </w:p>
        </w:tc>
        <w:tc>
          <w:tcPr>
            <w:vAlign w:val="center"/>
          </w:tcPr>
          <w:p>
            <w:r>
              <w:t>3</w:t>
            </w:r>
          </w:p>
        </w:tc>
        <w:tc>
          <w:tcPr>
            <w:vAlign w:val="center"/>
          </w:tcPr>
          <w:p>
            <w:r>
              <w:t>2.70</w:t>
            </w:r>
          </w:p>
        </w:tc>
        <w:tc>
          <w:tcPr>
            <w:vAlign w:val="center"/>
          </w:tcPr>
          <w:p>
            <w:r>
              <w:t>8.10</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C1830</w:t>
            </w:r>
          </w:p>
        </w:tc>
        <w:tc>
          <w:tcPr>
            <w:vAlign w:val="center"/>
          </w:tcPr>
          <w:p>
            <w:r>
              <w:t>2</w:t>
            </w:r>
          </w:p>
        </w:tc>
        <w:tc>
          <w:tcPr>
            <w:vAlign w:val="center"/>
          </w:tcPr>
          <w:p>
            <w:r>
              <w:t>6</w:t>
            </w:r>
          </w:p>
        </w:tc>
        <w:tc>
          <w:tcPr>
            <w:vAlign w:val="center"/>
          </w:tcPr>
          <w:p>
            <w:r>
              <w:t>5.40</w:t>
            </w:r>
          </w:p>
        </w:tc>
        <w:tc>
          <w:tcPr>
            <w:vAlign w:val="center"/>
          </w:tcPr>
          <w:p>
            <w:r>
              <w:t>32.40</w:t>
            </w:r>
          </w:p>
        </w:tc>
        <w:tc>
          <w:tcPr>
            <w:vAlign w:val="center"/>
          </w:tcPr>
          <w:p>
            <w:r>
              <w:t>18</w:t>
            </w:r>
          </w:p>
        </w:tc>
        <w:tc>
          <w:tcPr>
            <w:vAlign w:val="center"/>
          </w:tcPr>
          <w:p>
            <w:r>
              <w:t>0.00</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40.50</w:t>
            </w:r>
          </w:p>
        </w:tc>
        <w:tc>
          <w:tcPr>
            <w:gridSpan w:val="4"/>
            <w:shd w:val="clear" w:color="auto" w:fill="E6E6E6"/>
            <w:vAlign w:val="center"/>
          </w:tcPr>
          <w:p/>
        </w:tc>
      </w:tr>
    </w:tbl>
    <w:p/>
    <w:p>
      <w:pPr>
        <w:pStyle w:val="4"/>
      </w:pPr>
      <w:bookmarkStart w:id="45" w:name="_Toc10451"/>
      <w:r>
        <w:t>汇总</w:t>
      </w:r>
      <w:bookmarkEnd w:id="45"/>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外窗（含透光幕墙）面积(㎡)</w:t>
            </w:r>
          </w:p>
        </w:tc>
        <w:tc>
          <w:tcPr>
            <w:shd w:val="clear" w:color="auto" w:fill="E6E6E6"/>
            <w:vAlign w:val="center"/>
          </w:tcPr>
          <w:p>
            <w:pPr>
              <w:jc w:val="center"/>
            </w:pPr>
            <w:r>
              <w:t>可调节     遮阳设施</w:t>
            </w:r>
          </w:p>
        </w:tc>
        <w:tc>
          <w:tcPr>
            <w:shd w:val="clear" w:color="auto" w:fill="E6E6E6"/>
            <w:vAlign w:val="center"/>
          </w:tcPr>
          <w:p>
            <w:pPr>
              <w:jc w:val="center"/>
            </w:pPr>
            <w:r>
              <w:t>遮阳设施  应用面积Sz0 (㎡)</w:t>
            </w:r>
          </w:p>
        </w:tc>
        <w:tc>
          <w:tcPr>
            <w:shd w:val="clear" w:color="auto" w:fill="E6E6E6"/>
            <w:vAlign w:val="center"/>
          </w:tcPr>
          <w:p>
            <w:pPr>
              <w:jc w:val="center"/>
            </w:pPr>
            <w:r>
              <w:t>遮阳方式修正系数</w:t>
            </w:r>
          </w:p>
        </w:tc>
        <w:tc>
          <w:tcPr>
            <w:shd w:val="clear" w:color="auto" w:fill="E6E6E6"/>
            <w:vAlign w:val="center"/>
          </w:tcPr>
          <w:p>
            <w:pPr>
              <w:jc w:val="center"/>
            </w:pPr>
            <w:r>
              <w:t>遮阳设施的面积Sz (㎡)</w:t>
            </w:r>
          </w:p>
        </w:tc>
        <w:tc>
          <w:tcPr>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w:t>
            </w:r>
          </w:p>
        </w:tc>
        <w:tc>
          <w:tcPr>
            <w:vAlign w:val="center"/>
          </w:tcPr>
          <w:p>
            <w:r>
              <w:t>92.70</w:t>
            </w:r>
          </w:p>
        </w:tc>
        <w:tc>
          <w:tcPr>
            <w:vAlign w:val="center"/>
          </w:tcPr>
          <w:p>
            <w:r>
              <w:t>活动外遮阳</w:t>
            </w:r>
          </w:p>
        </w:tc>
        <w:tc>
          <w:tcPr>
            <w:vAlign w:val="center"/>
          </w:tcPr>
          <w:p>
            <w:r>
              <w:t>78.30</w:t>
            </w:r>
          </w:p>
        </w:tc>
        <w:tc>
          <w:tcPr>
            <w:vAlign w:val="center"/>
          </w:tcPr>
          <w:p>
            <w:r>
              <w:t>1.2</w:t>
            </w:r>
          </w:p>
        </w:tc>
        <w:tc>
          <w:tcPr>
            <w:vAlign w:val="center"/>
          </w:tcPr>
          <w:p>
            <w:r>
              <w:t>93.96</w:t>
            </w:r>
          </w:p>
        </w:tc>
        <w:tc>
          <w:tcPr>
            <w:vAlign w:val="center"/>
          </w:tcPr>
          <w:p>
            <w:r>
              <w:t>101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北</w:t>
            </w:r>
          </w:p>
        </w:tc>
        <w:tc>
          <w:tcPr>
            <w:vAlign w:val="center"/>
          </w:tcPr>
          <w:p>
            <w:r>
              <w:t>45.54</w:t>
            </w:r>
          </w:p>
        </w:tc>
        <w:tc>
          <w:tcPr>
            <w:vAlign w:val="center"/>
          </w:tcPr>
          <w:p>
            <w:r>
              <w:t>活动外遮阳</w:t>
            </w:r>
          </w:p>
        </w:tc>
        <w:tc>
          <w:tcPr>
            <w:vAlign w:val="center"/>
          </w:tcPr>
          <w:p>
            <w:r>
              <w:t>45.54</w:t>
            </w:r>
          </w:p>
        </w:tc>
        <w:tc>
          <w:tcPr>
            <w:vAlign w:val="center"/>
          </w:tcPr>
          <w:p>
            <w:r>
              <w:t>1.2</w:t>
            </w:r>
          </w:p>
        </w:tc>
        <w:tc>
          <w:tcPr>
            <w:vAlign w:val="center"/>
          </w:tcPr>
          <w:p>
            <w:r>
              <w:t>54.65</w:t>
            </w: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w:t>
            </w:r>
          </w:p>
        </w:tc>
        <w:tc>
          <w:tcPr>
            <w:vAlign w:val="center"/>
          </w:tcPr>
          <w:p>
            <w:r>
              <w:t>38.02</w:t>
            </w:r>
          </w:p>
        </w:tc>
        <w:tc>
          <w:tcPr>
            <w:vAlign w:val="center"/>
          </w:tcPr>
          <w:p>
            <w:r>
              <w:t>活动外遮阳</w:t>
            </w:r>
          </w:p>
        </w:tc>
        <w:tc>
          <w:tcPr>
            <w:vAlign w:val="center"/>
          </w:tcPr>
          <w:p>
            <w:r>
              <w:t>38.02</w:t>
            </w:r>
          </w:p>
        </w:tc>
        <w:tc>
          <w:tcPr>
            <w:vAlign w:val="center"/>
          </w:tcPr>
          <w:p>
            <w:r>
              <w:t>1.2</w:t>
            </w:r>
          </w:p>
        </w:tc>
        <w:tc>
          <w:tcPr>
            <w:vAlign w:val="center"/>
          </w:tcPr>
          <w:p>
            <w:r>
              <w:t>45.62</w:t>
            </w: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w:t>
            </w:r>
          </w:p>
        </w:tc>
        <w:tc>
          <w:tcPr>
            <w:vAlign w:val="center"/>
          </w:tcPr>
          <w:p>
            <w:r>
              <w:t>40.50</w:t>
            </w:r>
          </w:p>
        </w:tc>
        <w:tc>
          <w:tcPr>
            <w:vAlign w:val="center"/>
          </w:tcPr>
          <w:p>
            <w:r>
              <w:t>活动外遮阳</w:t>
            </w:r>
          </w:p>
        </w:tc>
        <w:tc>
          <w:tcPr>
            <w:vAlign w:val="center"/>
          </w:tcPr>
          <w:p>
            <w:r>
              <w:t>40.50</w:t>
            </w:r>
          </w:p>
        </w:tc>
        <w:tc>
          <w:tcPr>
            <w:vAlign w:val="center"/>
          </w:tcPr>
          <w:p>
            <w:r>
              <w:t>1.2</w:t>
            </w:r>
          </w:p>
        </w:tc>
        <w:tc>
          <w:tcPr>
            <w:vAlign w:val="center"/>
          </w:tcPr>
          <w:p>
            <w:r>
              <w:t>48.60</w:t>
            </w: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总计</w:t>
            </w:r>
          </w:p>
        </w:tc>
        <w:tc>
          <w:tcPr>
            <w:vAlign w:val="center"/>
          </w:tcPr>
          <w:p>
            <w:r>
              <w:t>216.76</w:t>
            </w:r>
          </w:p>
        </w:tc>
        <w:tc>
          <w:tcPr>
            <w:vAlign w:val="center"/>
          </w:tcPr>
          <w:p>
            <w:r>
              <w:t>活动外遮阳</w:t>
            </w:r>
          </w:p>
        </w:tc>
        <w:tc>
          <w:tcPr>
            <w:vAlign w:val="center"/>
          </w:tcPr>
          <w:p>
            <w:r>
              <w:t>202.36</w:t>
            </w:r>
          </w:p>
        </w:tc>
        <w:tc>
          <w:tcPr>
            <w:vAlign w:val="center"/>
          </w:tcPr>
          <w:p>
            <w:r>
              <w:t>1.2</w:t>
            </w:r>
          </w:p>
        </w:tc>
        <w:tc>
          <w:tcPr>
            <w:vAlign w:val="center"/>
          </w:tcPr>
          <w:p>
            <w:r>
              <w:t>242.83</w:t>
            </w:r>
          </w:p>
        </w:tc>
        <w:tc>
          <w:tcPr>
            <w:vAlign w:val="center"/>
          </w:tcPr>
          <w:p>
            <w:r>
              <w:t>112</w:t>
            </w:r>
          </w:p>
        </w:tc>
      </w:tr>
    </w:tbl>
    <w:p/>
    <w:p>
      <w:pPr>
        <w:pStyle w:val="2"/>
      </w:pPr>
      <w:bookmarkStart w:id="46" w:name="_Toc1353"/>
      <w:r>
        <w:t>结论</w:t>
      </w:r>
      <w:bookmarkEnd w:id="46"/>
    </w:p>
    <w:p>
      <w:r>
        <w:t>本项目可调节遮阳设施的面积比例达到112%，依据《绿色建筑评价标准》GB/T50378-2019第5.2.11条，Sz≥55%,得9分。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A495E7F"/>
    <w:rsid w:val="7CF33F3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0"/>
    <w:pPr>
      <w:tabs>
        <w:tab w:val="left" w:leader="dot" w:pos="180"/>
        <w:tab w:val="left" w:pos="420"/>
        <w:tab w:val="right" w:leader="dot" w:pos="9360"/>
      </w:tabs>
    </w:pPr>
    <w:rPr>
      <w:b/>
      <w:bCs/>
      <w:kern w:val="2"/>
      <w:szCs w:val="24"/>
      <w:lang w:val="en-US"/>
    </w:rPr>
  </w:style>
  <w:style w:type="paragraph" w:styleId="17">
    <w:name w:val="toc 2"/>
    <w:basedOn w:val="1"/>
    <w:next w:val="1"/>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uiPriority w:val="0"/>
    <w:rPr>
      <w:rFonts w:ascii="宋体" w:hAnsi="宋体" w:cs="Arial"/>
      <w:b/>
      <w:bCs/>
      <w:sz w:val="21"/>
      <w:szCs w:val="21"/>
    </w:rPr>
  </w:style>
  <w:style w:type="character" w:customStyle="1" w:styleId="26">
    <w:name w:val="标题 2 Char"/>
    <w:basedOn w:val="20"/>
    <w:link w:val="4"/>
    <w:uiPriority w:val="0"/>
    <w:rPr>
      <w:rFonts w:ascii="宋体" w:cs="Arial"/>
      <w:b/>
      <w:bCs/>
      <w:iCs/>
      <w:color w:val="000000"/>
      <w:sz w:val="24"/>
      <w:szCs w:val="24"/>
    </w:rPr>
  </w:style>
  <w:style w:type="character" w:customStyle="1" w:styleId="27">
    <w:name w:val="页眉 Char"/>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外窗可调节遮阳设施比例计算书.dotx</Template>
  <Company>ths</Company>
  <Pages>4</Pages>
  <Words>179</Words>
  <Characters>1023</Characters>
  <Lines>8</Lines>
  <Paragraphs>2</Paragraphs>
  <TotalTime>0</TotalTime>
  <ScaleCrop>false</ScaleCrop>
  <LinksUpToDate>false</LinksUpToDate>
  <CharactersWithSpaces>1200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2020-04-26T02:29:00Z</dcterms:created>
  <dc:creator>sware</dc:creator>
  <cp:lastModifiedBy>你们不要过来啊</cp:lastModifiedBy>
  <cp:lastPrinted>2411-12-31T16:00:00Z</cp:lastPrinted>
  <dcterms:modified xsi:type="dcterms:W3CDTF">2022-03-07T13:11:15Z</dcterms:modified>
  <dc:title>外窗可调节遮阳设施比例计算书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6A8A41E1B13E4E08BE6D5E5A87746223</vt:lpwstr>
  </property>
</Properties>
</file>