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9"/>
        <w:gridCol w:w="3461"/>
        <w:gridCol w:w="1559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bookmarkStart w:id="2" w:name="_GoBack"/>
                <w:bookmarkEnd w:id="2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本项目绿化灌溉采用微灌、渗灌、低压管灌等节水灌溉方式，微喷灌喷头流量应不大于250L/h，浇洒半径一般在5米左右。同时采用湿度传感器或雨天关闭的调节控制器。</w:t>
            </w:r>
          </w:p>
        </w:tc>
      </w:tr>
    </w:tbl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采用多联机及风冷机组，不需冷却补水。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1）绿化灌溉系统竣工图纸，应包含绿化灌溉系统设计说明、灌溉平面图、节水灌溉设备材料表、节水灌溉设备产品说明书、产品节水性能检测报告等；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 w:eastAsiaTheme="majorEastAsia"/>
        </w:rPr>
        <w:t>及</w:t>
      </w:r>
      <w:r>
        <w:rPr>
          <w:rFonts w:hint="eastAsia" w:ascii="Times New Roman" w:hAnsi="Times New Roman" w:cs="Times New Roman" w:eastAsiaTheme="majorEastAsia"/>
        </w:rPr>
        <w:t>产品说明书。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2355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EAE45-BAD8-4AA1-815A-7866E51332D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0AA6C6-A65C-4EE1-B290-D45E59E10FB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95B26FAE2274F1492DC3563CEBD12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2</TotalTime>
  <ScaleCrop>false</ScaleCrop>
  <LinksUpToDate>false</LinksUpToDate>
  <CharactersWithSpaces>747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白荼</cp:lastModifiedBy>
  <dcterms:modified xsi:type="dcterms:W3CDTF">2022-03-09T11:03:30Z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02242A8FE25B485DB71488E6919EF833</vt:lpwstr>
  </property>
</Properties>
</file>