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8.2.5 利用场地空间设置绿色雨水基础设施。（15分）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05"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pPr>
              <w:jc w:val="left"/>
              <w:rPr>
                <w:rFonts w:ascii="Times New Roman" w:hAnsi="Times New Roman" w:cs="Times New Roman"/>
              </w:rPr>
            </w:pPr>
            <w:r>
              <w:rPr>
                <w:rFonts w:ascii="Times New Roman" w:hAnsi="Times New Roman" w:cs="Times New Roman"/>
              </w:rPr>
              <w:t>达到40%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eastAsia" w:ascii="Times New Roman" w:hAnsi="Times New Roman" w:eastAsia="宋体" w:cs="Times New Roman"/>
              <w:szCs w:val="21"/>
            </w:rPr>
          </w:sdtEndPr>
          <w:sdtContent>
            <w:tc>
              <w:tcPr>
                <w:tcW w:w="1471" w:type="dxa"/>
                <w:vMerge w:val="restart"/>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pPr>
              <w:jc w:val="center"/>
              <w:rPr>
                <w:rFonts w:ascii="Times New Roman" w:hAnsi="Times New Roman" w:cs="Times New Roman"/>
              </w:rPr>
            </w:pPr>
          </w:p>
        </w:tc>
        <w:tc>
          <w:tcPr>
            <w:tcW w:w="3828" w:type="dxa"/>
            <w:vMerge w:val="continue"/>
            <w:vAlign w:val="center"/>
          </w:tcPr>
          <w:p>
            <w:pPr>
              <w:jc w:val="left"/>
              <w:rPr>
                <w:rFonts w:ascii="Times New Roman" w:hAnsi="Times New Roman" w:cs="Times New Roman"/>
              </w:rPr>
            </w:pPr>
          </w:p>
        </w:tc>
        <w:tc>
          <w:tcPr>
            <w:tcW w:w="1275" w:type="dxa"/>
            <w:vAlign w:val="center"/>
          </w:tcPr>
          <w:p>
            <w:pPr>
              <w:jc w:val="left"/>
              <w:rPr>
                <w:rFonts w:ascii="Times New Roman" w:hAnsi="Times New Roman" w:cs="Times New Roman"/>
              </w:rPr>
            </w:pPr>
            <w:r>
              <w:rPr>
                <w:rFonts w:ascii="Times New Roman" w:hAnsi="Times New Roman" w:cs="Times New Roman"/>
              </w:rPr>
              <w:t>达到60%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pPr>
              <w:jc w:val="center"/>
              <w:rPr>
                <w:rFonts w:ascii="Times New Roman" w:hAnsi="Times New Roman" w:cs="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008" w:type="dxa"/>
            <w:gridSpan w:val="3"/>
            <w:vAlign w:val="center"/>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下凹式绿地</w:t>
            </w:r>
          </w:p>
        </w:tc>
        <w:sdt>
          <w:sdtPr>
            <w:rPr>
              <w:rFonts w:hint="eastAsia" w:ascii="Times New Roman" w:hAnsi="Times New Roman" w:eastAsia="宋体" w:cs="Times New Roman"/>
              <w:szCs w:val="21"/>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绿色雨水基础设施面积合计</w:t>
            </w:r>
          </w:p>
        </w:tc>
        <w:sdt>
          <w:sdtPr>
            <w:rPr>
              <w:rFonts w:hint="eastAsia" w:ascii="Times New Roman" w:hAnsi="Times New Roman" w:eastAsia="宋体" w:cs="Times New Roman"/>
              <w:szCs w:val="21"/>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bl>
    <w:p>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r>
              <w:rPr>
                <w:rFonts w:hint="eastAsia"/>
              </w:rPr>
              <w:t>其他</w:t>
            </w:r>
            <w:sdt>
              <w:sdtPr>
                <w:rPr>
                  <w:u w:val="single"/>
                </w:rPr>
                <w:id w:val="1755865117"/>
              </w:sdtPr>
              <w:sdtEndPr>
                <w:rPr>
                  <w:u w:val="single"/>
                </w:rPr>
              </w:sdtEndPr>
              <w:sdtContent>
                <w:r>
                  <w:rPr>
                    <w:u w:val="single"/>
                  </w:rPr>
                  <w:t xml:space="preserve">   </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r>
              <w:rPr>
                <w:rFonts w:hint="eastAsia"/>
              </w:rPr>
              <w:t>硬质铺装总面积（</w:t>
            </w:r>
            <w:r>
              <w:t>m</w:t>
            </w:r>
            <w:r>
              <w:rPr>
                <w:vertAlign w:val="superscript"/>
              </w:rPr>
              <w:t>2</w:t>
            </w:r>
            <w:r>
              <w:rPr>
                <w:rFonts w:hint="eastAsia"/>
              </w:rPr>
              <w:t>）</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c>
          <w:tcPr>
            <w:tcW w:w="3215" w:type="dxa"/>
            <w:gridSpan w:val="2"/>
            <w:tcBorders>
              <w:top w:val="single" w:color="auto" w:sz="4" w:space="0"/>
              <w:left w:val="single" w:color="auto" w:sz="4" w:space="0"/>
              <w:bottom w:val="single" w:color="auto" w:sz="4" w:space="0"/>
              <w:right w:val="single" w:color="auto" w:sz="4" w:space="0"/>
            </w:tcBorders>
          </w:tcPr>
          <w:p>
            <w:r>
              <w:rPr>
                <w:rFonts w:hint="eastAsia"/>
              </w:rPr>
              <w:t>透水铺装面积的比例（</w:t>
            </w:r>
            <w:r>
              <w:t>%</w:t>
            </w:r>
            <w:r>
              <w:rPr>
                <w:rFonts w:hint="eastAsia"/>
              </w:rPr>
              <w:t>）</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bl>
    <w:p>
      <w:pPr>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本工程雨水渗透方式采用透水铺装地面渗透。</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透水铺装地面包括透水砖和透水沥青。透水砖、透水沥青用于路面。当透水铺装下为地下室顶板时，地下室顶板上覆土深度能满足当地园林绿化部门要求，可认定其为透水铺装地面。</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硬质铺装地面中透水铺装面积的比例达到82%＞50% 。</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ind w:left="210" w:hanging="210" w:hangingChars="100"/>
      </w:pPr>
      <w:r>
        <w:rPr>
          <w:rFonts w:hint="eastAsia"/>
        </w:rPr>
        <w:t>1）场地原地形图；</w:t>
      </w:r>
    </w:p>
    <w:p>
      <w:pPr>
        <w:ind w:left="210" w:hanging="210" w:hangingChars="100"/>
      </w:pPr>
      <w:r>
        <w:rPr>
          <w:rFonts w:hint="eastAsia"/>
        </w:rPr>
        <w:t>2）竣工总平面图，应包括绿化、场地竖向设计内容；</w:t>
      </w:r>
    </w:p>
    <w:p>
      <w:pPr>
        <w:ind w:left="210" w:hanging="210" w:hangingChars="100"/>
      </w:pPr>
      <w:r>
        <w:rPr>
          <w:rFonts w:hint="eastAsia"/>
        </w:rPr>
        <w:t>3）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pPr>
        <w:ind w:left="210" w:hanging="210" w:hangingChars="100"/>
      </w:pPr>
      <w:r>
        <w:rPr>
          <w:rFonts w:hint="eastAsia"/>
        </w:rPr>
        <w:t>4）场地铺装图纸及设计说明，应包括透水铺装地面位置、面积、铺装材料和铺装方式；</w:t>
      </w:r>
    </w:p>
    <w:p>
      <w:pPr>
        <w:ind w:left="210" w:hanging="210" w:hangingChars="100"/>
      </w:pPr>
      <w:r>
        <w:rPr>
          <w:rFonts w:hint="eastAsia"/>
        </w:rPr>
        <w:t>5）绿地及透水铺装比例计算书。</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水处理.png</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建筑总平面图.jpg</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地形图.png</w:t>
            </w:r>
          </w:p>
          <w:p>
            <w:pPr>
              <w:rPr>
                <w:rFonts w:hint="eastAsia" w:ascii="Times New Roman" w:hAnsi="Times New Roman" w:eastAsia="宋体" w:cs="Times New Roman"/>
                <w:kern w:val="0"/>
                <w:sz w:val="20"/>
                <w:szCs w:val="21"/>
              </w:rPr>
            </w:pPr>
            <w:bookmarkStart w:id="0" w:name="_GoBack"/>
            <w:bookmarkEnd w:id="0"/>
          </w:p>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7A5FE8"/>
    <w:rsid w:val="00915131"/>
    <w:rsid w:val="00A25A4B"/>
    <w:rsid w:val="00B14C90"/>
    <w:rsid w:val="00B53497"/>
    <w:rsid w:val="00C36817"/>
    <w:rsid w:val="00EF2034"/>
    <w:rsid w:val="57E8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pPr>
            <w:pStyle w:val="5"/>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pPr>
            <w:pStyle w:val="6"/>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pPr>
            <w:pStyle w:val="7"/>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pPr>
            <w:pStyle w:val="8"/>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pPr>
            <w:pStyle w:val="9"/>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pPr>
            <w:pStyle w:val="10"/>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pPr>
            <w:pStyle w:val="11"/>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pPr>
            <w:pStyle w:val="12"/>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pPr>
            <w:pStyle w:val="13"/>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pPr>
            <w:pStyle w:val="14"/>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pPr>
            <w:pStyle w:val="15"/>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pPr>
            <w:pStyle w:val="16"/>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pPr>
            <w:pStyle w:val="17"/>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pPr>
            <w:pStyle w:val="18"/>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pPr>
            <w:pStyle w:val="19"/>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pPr>
            <w:pStyle w:val="20"/>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pPr>
            <w:pStyle w:val="21"/>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pPr>
            <w:pStyle w:val="22"/>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pPr>
            <w:pStyle w:val="23"/>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pPr>
            <w:pStyle w:val="24"/>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pPr>
            <w:pStyle w:val="25"/>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pPr>
            <w:pStyle w:val="26"/>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pPr>
            <w:pStyle w:val="27"/>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pPr>
            <w:pStyle w:val="28"/>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5CCABC6AA024F50BAC000AA12A7E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A6889380E0B4164AF53DF5B2C1E2F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4967498D4DB4EEDB4D75CB50CDBFD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Words>
  <Characters>844</Characters>
  <Lines>7</Lines>
  <Paragraphs>1</Paragraphs>
  <TotalTime>1</TotalTime>
  <ScaleCrop>false</ScaleCrop>
  <LinksUpToDate>false</LinksUpToDate>
  <CharactersWithSpaces>991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白荼</cp:lastModifiedBy>
  <dcterms:modified xsi:type="dcterms:W3CDTF">2022-03-09T11:18:10Z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EA96B45E298F45D2B2E5D5BB4B43CE71</vt:lpwstr>
  </property>
</Properties>
</file>