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r>
        <w:rPr>
          <w:rFonts w:hint="eastAsia" w:ascii="华文中宋" w:hAnsi="华文中宋" w:eastAsia="华文中宋"/>
          <w:b/>
          <w:sz w:val="44"/>
          <w:szCs w:val="44"/>
        </w:rPr>
        <w:t>安徽省合肥市青年健身居住社区</w:t>
      </w:r>
      <w:bookmarkStart w:id="51" w:name="_GoBack"/>
      <w:bookmarkEnd w:id="51"/>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安徽省合肥市青年健身居住社区</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2022年1月6日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T18106795575</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3</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安徽省合肥市青年健身居住社区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4061</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7</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26.0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bookmarkStart w:id="21" w:name="_Toc441480675"/>
      <w:r>
        <w:rPr>
          <w:rFonts w:hint="eastAsia"/>
          <w:lang w:val="en-US"/>
        </w:rPr>
        <w:t>图1</w:t>
      </w:r>
      <w:r>
        <w:rPr>
          <w:lang w:val="en-US"/>
        </w:rPr>
        <w:t>-1</w:t>
      </w:r>
      <w:r>
        <w:rPr>
          <w:rFonts w:hint="eastAsia"/>
          <w:lang w:val="en-US"/>
        </w:rPr>
        <w:t xml:space="preserve"> 目标</w:t>
      </w:r>
      <w:r>
        <w:rPr>
          <w:lang w:val="en-US"/>
        </w:rPr>
        <w:t>建筑模型</w:t>
      </w:r>
    </w:p>
    <w:p>
      <w:pPr>
        <w:pStyle w:val="2"/>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r>
        <w:rPr>
          <w:rFonts w:hint="eastAsia"/>
        </w:rPr>
        <w:t>标准</w:t>
      </w:r>
      <w:r>
        <w:t>要求</w:t>
      </w:r>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23" w:name="_Hlk498956250"/>
      <w:bookmarkStart w:id="24" w:name="_Toc441480676"/>
      <w:bookmarkStart w:id="25"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3"/>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本项目通过对整栋建筑的分析，确定了主要功能房间中噪声级最不利的房间为</w:t>
      </w:r>
      <w:bookmarkStart w:id="26" w:name="最不利房间编号2"/>
      <w:r>
        <w:rPr>
          <w:rFonts w:hint="eastAsia"/>
          <w:lang w:val="en-US"/>
        </w:rPr>
        <w:t>6001房间,房间类型[卧室]</w:t>
      </w:r>
      <w:bookmarkEnd w:id="26"/>
      <w:r>
        <w:rPr>
          <w:rFonts w:hint="eastAsia"/>
          <w:lang w:val="en-US"/>
        </w:rPr>
        <w:t>，报告书阐述该房间室内噪声级计算过程，房间情况如下图所示：</w:t>
      </w:r>
    </w:p>
    <w:p>
      <w:pPr>
        <w:jc w:val="center"/>
        <w:rPr>
          <w:lang w:val="en-US"/>
        </w:rPr>
      </w:pPr>
      <w:bookmarkStart w:id="27" w:name="最不利房间楼层平面图"/>
      <w:bookmarkEnd w:id="27"/>
      <w:r>
        <w:drawing>
          <wp:inline distT="0" distB="0" distL="0" distR="0">
            <wp:extent cx="5667375" cy="55911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559117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r>
        <w:rPr>
          <w:rFonts w:hint="eastAsia"/>
        </w:rPr>
        <w:t>室外</w:t>
      </w:r>
      <w:r>
        <w:t>边界噪声</w:t>
      </w:r>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28" w:name="昼间边界噪声"/>
      <w:r>
        <w:t>55</w:t>
      </w:r>
      <w:bookmarkEnd w:id="28"/>
      <w:r>
        <w:rPr>
          <w:rFonts w:hint="eastAsia"/>
          <w:b/>
          <w:kern w:val="2"/>
          <w:lang w:val="en-US"/>
        </w:rPr>
        <w:t>dB</w:t>
      </w:r>
      <w:r>
        <w:rPr>
          <w:b/>
          <w:kern w:val="2"/>
          <w:lang w:val="en-US"/>
        </w:rPr>
        <w:t>(A)</w:t>
      </w:r>
      <w:r>
        <w:rPr>
          <w:rFonts w:hint="eastAsia"/>
          <w:b/>
          <w:kern w:val="2"/>
          <w:lang w:val="en-US"/>
        </w:rPr>
        <w:t>， 夜间为</w:t>
      </w:r>
      <w:bookmarkStart w:id="29" w:name="夜间边界噪声"/>
      <w:r>
        <w:t>45</w:t>
      </w:r>
      <w:bookmarkEnd w:id="29"/>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jc w:val="center"/>
        <w:rPr>
          <w:lang w:val="en-US"/>
        </w:rPr>
      </w:pPr>
      <w:bookmarkStart w:id="30" w:name="最不利房间围护结构材料清单"/>
      <w:bookmarkEnd w:id="30"/>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1" w:name="公式A1"/>
          <m:r>
            <m:rPr>
              <m:sty m:val="p"/>
            </m:rPr>
            <m:t>23</m:t>
          </m:r>
          <w:bookmarkEnd w:id="31"/>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2" w:name="公式B1"/>
          <m:r>
            <m:rPr>
              <m:sty m:val="p"/>
            </m:rPr>
            <m:t>11</m:t>
          </m:r>
          <w:bookmarkEnd w:id="32"/>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3" w:name="公式C1"/>
          <m:r>
            <m:rPr>
              <m:sty m:val="p"/>
            </m:rPr>
            <m:t>−41</m:t>
          </m:r>
          <w:bookmarkEnd w:id="33"/>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4" w:name="公式A2"/>
          <m:r>
            <m:rPr>
              <m:sty m:val="p"/>
            </m:rPr>
            <m:t>13</m:t>
          </m:r>
          <w:bookmarkEnd w:id="34"/>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5" w:name="公式B2"/>
          <m:r>
            <m:rPr>
              <m:sty m:val="p"/>
            </m:rPr>
            <m:t>11</m:t>
          </m:r>
          <w:bookmarkEnd w:id="35"/>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6" w:name="公式C2"/>
          <m:r>
            <m:rPr>
              <m:sty m:val="p"/>
            </m:rPr>
            <m:t>−18</m:t>
          </m:r>
          <w:bookmarkEnd w:id="36"/>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35.0</w:t>
            </w:r>
          </w:p>
        </w:tc>
        <w:tc>
          <w:tcPr>
            <w:vAlign w:val="center"/>
          </w:tcPr>
          <w:p>
            <w:r>
              <w:t>41.0</w:t>
            </w:r>
          </w:p>
        </w:tc>
        <w:tc>
          <w:tcPr>
            <w:vAlign w:val="center"/>
          </w:tcPr>
          <w:p>
            <w:r>
              <w:t>49.0</w:t>
            </w:r>
          </w:p>
        </w:tc>
        <w:tc>
          <w:tcPr>
            <w:vAlign w:val="center"/>
          </w:tcPr>
          <w:p>
            <w:r>
              <w:t>51.0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硅酸盐砌块200厚，双面抹灰各20厚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《建筑设计资料集》</w:t>
            </w:r>
          </w:p>
        </w:tc>
      </w:tr>
    </w:tbl>
    <w:p>
      <w:pPr>
        <w:jc w:val="center"/>
      </w:pPr>
      <w:bookmarkStart w:id="37" w:name="外墙隔声量"/>
      <w:bookmarkEnd w:id="3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幕墙</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Merge w:val="continue"/>
            <w:shd w:val="clear" w:color="auto" w:fill="E6E6E6"/>
            <w:vAlign w:val="center"/>
          </w:tcP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参照构造</w:t>
            </w:r>
          </w:p>
        </w:tc>
        <w:tc>
          <w:tcPr>
            <w:gridSpan w:val="5"/>
            <w:vAlign w:val="center"/>
          </w:tcPr>
          <w:p>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外门(M1224)</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70厚钢木门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38" w:name="门窗隔声量"/>
      <w:bookmarkEnd w:id="38"/>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3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28.5</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12.8</w:t>
            </w:r>
          </w:p>
        </w:tc>
        <w:tc>
          <w:tcPr>
            <w:vAlign w:val="center"/>
          </w:tcPr>
          <w:p>
            <w:r>
              <w:t>0.360</w:t>
            </w:r>
          </w:p>
        </w:tc>
        <w:tc>
          <w:tcPr>
            <w:vAlign w:val="center"/>
          </w:tcPr>
          <w:p>
            <w:r>
              <w:t>0.440</w:t>
            </w:r>
          </w:p>
        </w:tc>
        <w:tc>
          <w:tcPr>
            <w:vAlign w:val="center"/>
          </w:tcPr>
          <w:p>
            <w:r>
              <w:t>0.310</w:t>
            </w:r>
          </w:p>
        </w:tc>
        <w:tc>
          <w:tcPr>
            <w:vAlign w:val="center"/>
          </w:tcPr>
          <w:p>
            <w:r>
              <w:t>0.290</w:t>
            </w:r>
          </w:p>
        </w:tc>
        <w:tc>
          <w:tcPr>
            <w:vAlign w:val="center"/>
          </w:tcPr>
          <w:p>
            <w:r>
              <w:t>0.390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10.6</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内门(M0824)</w:t>
            </w:r>
          </w:p>
        </w:tc>
        <w:tc>
          <w:tcPr>
            <w:shd w:val="clear" w:color="auto" w:fill="E6E6E6"/>
            <w:vAlign w:val="center"/>
          </w:tcPr>
          <w:p>
            <w:r>
              <w:t>1.9</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外门(M1224)</w:t>
            </w:r>
          </w:p>
        </w:tc>
        <w:tc>
          <w:tcPr>
            <w:shd w:val="clear" w:color="auto" w:fill="E6E6E6"/>
            <w:vAlign w:val="center"/>
          </w:tcPr>
          <w:p>
            <w:r>
              <w:t>2.9</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20.1</w:t>
            </w:r>
          </w:p>
        </w:tc>
        <w:tc>
          <w:tcPr>
            <w:vAlign w:val="center"/>
          </w:tcPr>
          <w:p>
            <w:r>
              <w:t>0.150</w:t>
            </w:r>
          </w:p>
        </w:tc>
        <w:tc>
          <w:tcPr>
            <w:vAlign w:val="center"/>
          </w:tcPr>
          <w:p>
            <w:r>
              <w:t>0.110</w:t>
            </w:r>
          </w:p>
        </w:tc>
        <w:tc>
          <w:tcPr>
            <w:vAlign w:val="center"/>
          </w:tcPr>
          <w:p>
            <w:r>
              <w:t>0.100</w:t>
            </w:r>
          </w:p>
        </w:tc>
        <w:tc>
          <w:tcPr>
            <w:vAlign w:val="center"/>
          </w:tcPr>
          <w:p>
            <w:r>
              <w:t>0.070</w:t>
            </w:r>
          </w:p>
        </w:tc>
        <w:tc>
          <w:tcPr>
            <w:vAlign w:val="center"/>
          </w:tcPr>
          <w:p>
            <w:r>
              <w:t>0.060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20.1</w:t>
            </w:r>
          </w:p>
        </w:tc>
        <w:tc>
          <w:tcPr>
            <w:vAlign w:val="center"/>
          </w:tcPr>
          <w:p>
            <w:r>
              <w:t>0.040</w:t>
            </w:r>
          </w:p>
        </w:tc>
        <w:tc>
          <w:tcPr>
            <w:vAlign w:val="center"/>
          </w:tcPr>
          <w:p>
            <w:r>
              <w:t>0.040</w:t>
            </w:r>
          </w:p>
        </w:tc>
        <w:tc>
          <w:tcPr>
            <w:vAlign w:val="center"/>
          </w:tcPr>
          <w:p>
            <w:r>
              <w:t>0.070</w:t>
            </w:r>
          </w:p>
        </w:tc>
        <w:tc>
          <w:tcPr>
            <w:vAlign w:val="center"/>
          </w:tcPr>
          <w:p>
            <w:r>
              <w:t>0.060</w:t>
            </w:r>
          </w:p>
        </w:tc>
        <w:tc>
          <w:tcPr>
            <w:vAlign w:val="center"/>
          </w:tcPr>
          <w:p>
            <w:r>
              <w:t>0.060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21.0</w:t>
            </w:r>
          </w:p>
        </w:tc>
        <w:tc>
          <w:tcPr>
            <w:vAlign w:val="center"/>
          </w:tcPr>
          <w:p>
            <w:r>
              <w:t>14.7</w:t>
            </w:r>
          </w:p>
        </w:tc>
        <w:tc>
          <w:tcPr>
            <w:vAlign w:val="center"/>
          </w:tcPr>
          <w:p>
            <w:r>
              <w:t>11.2</w:t>
            </w:r>
          </w:p>
        </w:tc>
        <w:tc>
          <w:tcPr>
            <w:vAlign w:val="center"/>
          </w:tcPr>
          <w:p>
            <w:r>
              <w:t>9.2</w:t>
            </w:r>
          </w:p>
        </w:tc>
        <w:tc>
          <w:tcPr>
            <w:vAlign w:val="center"/>
          </w:tcPr>
          <w:p>
            <w:r>
              <w:t>10.6</w:t>
            </w:r>
          </w:p>
        </w:tc>
        <w:tc>
          <w:tcPr>
            <w:vAlign w:val="center"/>
          </w:tcPr>
          <w:p/>
        </w:tc>
      </w:tr>
    </w:tbl>
    <w:p>
      <w:pPr>
        <w:jc w:val="center"/>
        <w:rPr>
          <w:lang w:val="en-US"/>
        </w:rPr>
      </w:pPr>
      <w:bookmarkStart w:id="39" w:name="围护结构吸声量"/>
      <w:bookmarkEnd w:id="39"/>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pt;width:13.6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35pt;width:13.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3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r>
        <w:rPr>
          <w:rFonts w:hint="eastAsia"/>
        </w:rPr>
        <w:t>组合墙隔声量计算过程</w:t>
      </w:r>
    </w:p>
    <w:p>
      <w:pPr>
        <w:pStyle w:val="3"/>
        <w:ind w:firstLine="420" w:firstLineChars="200"/>
        <w:jc w:val="left"/>
      </w:pPr>
      <w:r>
        <w:t>本建筑最不利房间的情况如下图所示：</w:t>
      </w:r>
    </w:p>
    <w:p>
      <w:pPr>
        <w:jc w:val="center"/>
      </w:pPr>
      <w:bookmarkStart w:id="40" w:name="最不利房间平面图"/>
      <w:bookmarkEnd w:id="40"/>
      <w:r>
        <w:drawing>
          <wp:inline distT="0" distB="0" distL="0" distR="0">
            <wp:extent cx="5667375" cy="3629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290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35.0</w:t>
            </w:r>
          </w:p>
        </w:tc>
        <w:tc>
          <w:tcPr>
            <w:vAlign w:val="center"/>
          </w:tcPr>
          <w:p>
            <w:r>
              <w:t>41.0</w:t>
            </w:r>
          </w:p>
        </w:tc>
        <w:tc>
          <w:tcPr>
            <w:vAlign w:val="center"/>
          </w:tcPr>
          <w:p>
            <w:r>
              <w:t>49.0</w:t>
            </w:r>
          </w:p>
        </w:tc>
        <w:tc>
          <w:tcPr>
            <w:vAlign w:val="center"/>
          </w:tcPr>
          <w:p>
            <w:r>
              <w:t>51.0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0.000317</w:t>
            </w:r>
          </w:p>
        </w:tc>
        <w:tc>
          <w:tcPr>
            <w:vAlign w:val="center"/>
          </w:tcPr>
          <w:p>
            <w:r>
              <w:t>0.000080</w:t>
            </w:r>
          </w:p>
        </w:tc>
        <w:tc>
          <w:tcPr>
            <w:vAlign w:val="center"/>
          </w:tcPr>
          <w:p>
            <w:r>
              <w:t>0.000014</w:t>
            </w:r>
          </w:p>
        </w:tc>
        <w:tc>
          <w:tcPr>
            <w:vAlign w:val="center"/>
          </w:tcPr>
          <w:p>
            <w:r>
              <w:t>0.000009</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35.0</w:t>
            </w:r>
          </w:p>
        </w:tc>
        <w:tc>
          <w:tcPr>
            <w:vAlign w:val="center"/>
          </w:tcPr>
          <w:p>
            <w:r>
              <w:t>41.0</w:t>
            </w:r>
          </w:p>
        </w:tc>
        <w:tc>
          <w:tcPr>
            <w:vAlign w:val="center"/>
          </w:tcPr>
          <w:p>
            <w:r>
              <w:t>49.0</w:t>
            </w:r>
          </w:p>
        </w:tc>
        <w:tc>
          <w:tcPr>
            <w:vAlign w:val="center"/>
          </w:tcPr>
          <w:p>
            <w:r>
              <w:t>51.0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44.0</w:t>
            </w:r>
          </w:p>
        </w:tc>
        <w:tc>
          <w:tcPr>
            <w:vAlign w:val="center"/>
          </w:tcPr>
          <w:p>
            <w:r>
              <w:t>48.5</w:t>
            </w:r>
          </w:p>
        </w:tc>
        <w:tc>
          <w:tcPr>
            <w:vAlign w:val="center"/>
          </w:tcPr>
          <w:p>
            <w:r>
              <w:t>55.3</w:t>
            </w:r>
          </w:p>
        </w:tc>
        <w:tc>
          <w:tcPr>
            <w:vAlign w:val="center"/>
          </w:tcPr>
          <w:p>
            <w:r>
              <w:t>56.4</w:t>
            </w:r>
          </w:p>
        </w:tc>
        <w:tc>
          <w:tcPr>
            <w:vAlign w:val="center"/>
          </w:tcPr>
          <w:p>
            <w:r>
              <w:t>64.1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幕墙+幕墙+外门(M1224)+幕墙+幕墙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外门(M1224)隔声量(dB)</w:t>
            </w:r>
          </w:p>
        </w:tc>
        <w:tc>
          <w:tcPr>
            <w:vAlign w:val="center"/>
          </w:tcPr>
          <w:p>
            <w:r>
              <w:t>38.0</w:t>
            </w:r>
          </w:p>
        </w:tc>
        <w:tc>
          <w:tcPr>
            <w:vAlign w:val="center"/>
          </w:tcPr>
          <w:p>
            <w:r>
              <w:t>40.0</w:t>
            </w:r>
          </w:p>
        </w:tc>
        <w:tc>
          <w:tcPr>
            <w:vAlign w:val="center"/>
          </w:tcPr>
          <w:p>
            <w:r>
              <w:t>41.0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0.000659</w:t>
            </w:r>
          </w:p>
        </w:tc>
        <w:tc>
          <w:tcPr>
            <w:vAlign w:val="center"/>
          </w:tcPr>
          <w:p>
            <w:r>
              <w:t>0.000085</w:t>
            </w:r>
          </w:p>
        </w:tc>
        <w:tc>
          <w:tcPr>
            <w:vAlign w:val="center"/>
          </w:tcPr>
          <w:p>
            <w:r>
              <w:t>0.000026</w:t>
            </w:r>
          </w:p>
        </w:tc>
        <w:tc>
          <w:tcPr>
            <w:vAlign w:val="center"/>
          </w:tcPr>
          <w:p>
            <w:r>
              <w:t>0.000016</w:t>
            </w:r>
          </w:p>
        </w:tc>
        <w:tc>
          <w:tcPr>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31.8</w:t>
            </w:r>
          </w:p>
        </w:tc>
        <w:tc>
          <w:tcPr>
            <w:vAlign w:val="center"/>
          </w:tcPr>
          <w:p>
            <w:r>
              <w:t>40.8</w:t>
            </w:r>
          </w:p>
        </w:tc>
        <w:tc>
          <w:tcPr>
            <w:vAlign w:val="center"/>
          </w:tcPr>
          <w:p>
            <w:r>
              <w:t>46.0</w:t>
            </w:r>
          </w:p>
        </w:tc>
        <w:tc>
          <w:tcPr>
            <w:vAlign w:val="center"/>
          </w:tcPr>
          <w:p>
            <w:r>
              <w:t>48.3</w:t>
            </w:r>
          </w:p>
        </w:tc>
        <w:tc>
          <w:tcPr>
            <w:vAlign w:val="center"/>
          </w:tcPr>
          <w:p>
            <w:r>
              <w:t>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33.8</w:t>
            </w:r>
          </w:p>
        </w:tc>
        <w:tc>
          <w:tcPr>
            <w:vAlign w:val="center"/>
          </w:tcPr>
          <w:p>
            <w:r>
              <w:t>41.2</w:t>
            </w:r>
          </w:p>
        </w:tc>
        <w:tc>
          <w:tcPr>
            <w:vAlign w:val="center"/>
          </w:tcPr>
          <w:p>
            <w:r>
              <w:t>45.3</w:t>
            </w:r>
          </w:p>
        </w:tc>
        <w:tc>
          <w:tcPr>
            <w:vAlign w:val="center"/>
          </w:tcPr>
          <w:p>
            <w:r>
              <w:t>46.7</w:t>
            </w:r>
          </w:p>
        </w:tc>
        <w:tc>
          <w:tcPr>
            <w:vAlign w:val="center"/>
          </w:tcPr>
          <w:p>
            <w:r>
              <w:t>49.7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0.318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35.0</w:t>
            </w:r>
          </w:p>
        </w:tc>
        <w:tc>
          <w:tcPr>
            <w:vAlign w:val="center"/>
          </w:tcPr>
          <w:p>
            <w:r>
              <w:t>41.0</w:t>
            </w:r>
          </w:p>
        </w:tc>
        <w:tc>
          <w:tcPr>
            <w:vAlign w:val="center"/>
          </w:tcPr>
          <w:p>
            <w:r>
              <w:t>49.0</w:t>
            </w:r>
          </w:p>
        </w:tc>
        <w:tc>
          <w:tcPr>
            <w:vAlign w:val="center"/>
          </w:tcPr>
          <w:p>
            <w:r>
              <w:t>51.0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0.000317</w:t>
            </w:r>
          </w:p>
        </w:tc>
        <w:tc>
          <w:tcPr>
            <w:vAlign w:val="center"/>
          </w:tcPr>
          <w:p>
            <w:r>
              <w:t>0.000080</w:t>
            </w:r>
          </w:p>
        </w:tc>
        <w:tc>
          <w:tcPr>
            <w:vAlign w:val="center"/>
          </w:tcPr>
          <w:p>
            <w:r>
              <w:t>0.000014</w:t>
            </w:r>
          </w:p>
        </w:tc>
        <w:tc>
          <w:tcPr>
            <w:vAlign w:val="center"/>
          </w:tcPr>
          <w:p>
            <w:r>
              <w:t>0.000009</w:t>
            </w:r>
          </w:p>
        </w:tc>
        <w:tc>
          <w:tcPr>
            <w:vAlign w:val="center"/>
          </w:tcPr>
          <w:p>
            <w:r>
              <w:t>0.000003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35.0</w:t>
            </w:r>
          </w:p>
        </w:tc>
        <w:tc>
          <w:tcPr>
            <w:vAlign w:val="center"/>
          </w:tcPr>
          <w:p>
            <w:r>
              <w:t>41.0</w:t>
            </w:r>
          </w:p>
        </w:tc>
        <w:tc>
          <w:tcPr>
            <w:vAlign w:val="center"/>
          </w:tcPr>
          <w:p>
            <w:r>
              <w:t>49.0</w:t>
            </w:r>
          </w:p>
        </w:tc>
        <w:tc>
          <w:tcPr>
            <w:vAlign w:val="center"/>
          </w:tcPr>
          <w:p>
            <w:r>
              <w:t>51.0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38.1</w:t>
            </w:r>
          </w:p>
        </w:tc>
        <w:tc>
          <w:tcPr>
            <w:vAlign w:val="center"/>
          </w:tcPr>
          <w:p>
            <w:r>
              <w:t>42.6</w:t>
            </w:r>
          </w:p>
        </w:tc>
        <w:tc>
          <w:tcPr>
            <w:vAlign w:val="center"/>
          </w:tcPr>
          <w:p>
            <w:r>
              <w:t>49.4</w:t>
            </w:r>
          </w:p>
        </w:tc>
        <w:tc>
          <w:tcPr>
            <w:vAlign w:val="center"/>
          </w:tcPr>
          <w:p>
            <w:r>
              <w:t>50.5</w:t>
            </w:r>
          </w:p>
        </w:tc>
        <w:tc>
          <w:tcPr>
            <w:vAlign w:val="center"/>
          </w:tcPr>
          <w:p>
            <w:r>
              <w:t>58.2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48</w:t>
            </w:r>
          </w:p>
        </w:tc>
      </w:tr>
    </w:tbl>
    <w:p>
      <w:pPr>
        <w:jc w:val="center"/>
        <w:rPr>
          <w:lang w:val="en-US"/>
        </w:rPr>
      </w:pPr>
      <w:bookmarkStart w:id="41" w:name="组合墙隔声量"/>
      <w:bookmarkEnd w:id="41"/>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05pt;width:118.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pt;width:33.9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55</w:t>
            </w:r>
          </w:p>
        </w:tc>
        <w:tc>
          <w:tcPr>
            <w:vAlign w:val="center"/>
          </w:tcPr>
          <w:p>
            <w:r>
              <w:t>45</w:t>
            </w:r>
          </w:p>
        </w:tc>
        <w:tc>
          <w:tcPr>
            <w:vAlign w:val="center"/>
          </w:tcPr>
          <w:p>
            <w:r>
              <w:t>53</w:t>
            </w:r>
          </w:p>
        </w:tc>
        <w:tc>
          <w:tcPr>
            <w:vAlign w:val="center"/>
          </w:tcPr>
          <w:p>
            <w:r>
              <w:t>53</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幕墙+幕墙+外门(M1224)+幕墙+幕墙</w:t>
            </w:r>
          </w:p>
        </w:tc>
        <w:tc>
          <w:tcPr>
            <w:vAlign w:val="center"/>
          </w:tcPr>
          <w:p>
            <w:r>
              <w:t>55</w:t>
            </w:r>
          </w:p>
        </w:tc>
        <w:tc>
          <w:tcPr>
            <w:vAlign w:val="center"/>
          </w:tcPr>
          <w:p>
            <w:r>
              <w:t>45</w:t>
            </w:r>
          </w:p>
        </w:tc>
        <w:tc>
          <w:tcPr>
            <w:vAlign w:val="center"/>
          </w:tcPr>
          <w:p>
            <w:r>
              <w:t>16</w:t>
            </w:r>
          </w:p>
        </w:tc>
        <w:tc>
          <w:tcPr>
            <w:vAlign w:val="center"/>
          </w:tcPr>
          <w:p>
            <w:r>
              <w:t>16</w:t>
            </w:r>
          </w:p>
        </w:tc>
        <w:tc>
          <w:tcPr>
            <w:vAlign w:val="center"/>
          </w:tcPr>
          <w:p>
            <w:r>
              <w:t>39</w:t>
            </w:r>
          </w:p>
        </w:tc>
        <w:tc>
          <w:tcPr>
            <w:vAlign w:val="center"/>
          </w:tcPr>
          <w:p>
            <w:r>
              <w:t>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w:t>
            </w:r>
          </w:p>
        </w:tc>
        <w:tc>
          <w:tcPr>
            <w:vAlign w:val="center"/>
          </w:tcPr>
          <w:p>
            <w:r>
              <w:t>55</w:t>
            </w:r>
          </w:p>
        </w:tc>
        <w:tc>
          <w:tcPr>
            <w:vAlign w:val="center"/>
          </w:tcPr>
          <w:p>
            <w:r>
              <w:t>45</w:t>
            </w:r>
          </w:p>
        </w:tc>
        <w:tc>
          <w:tcPr>
            <w:vAlign w:val="center"/>
          </w:tcPr>
          <w:p>
            <w:r>
              <w:t>48</w:t>
            </w:r>
          </w:p>
        </w:tc>
        <w:tc>
          <w:tcPr>
            <w:vAlign w:val="center"/>
          </w:tcPr>
          <w:p>
            <w:r>
              <w:t>48</w:t>
            </w:r>
          </w:p>
        </w:tc>
        <w:tc>
          <w:tcPr>
            <w:vAlign w:val="center"/>
          </w:tcPr>
          <w:p>
            <w:r>
              <w:t>7</w:t>
            </w:r>
          </w:p>
        </w:tc>
        <w:tc>
          <w:tcPr>
            <w:vAlign w:val="center"/>
          </w:tcPr>
          <w:p>
            <w:r>
              <w:t>＜5</w:t>
            </w:r>
          </w:p>
        </w:tc>
      </w:tr>
    </w:tbl>
    <w:p>
      <w:pPr>
        <w:jc w:val="center"/>
      </w:pPr>
      <w:bookmarkStart w:id="42" w:name="组合墙传到室内噪声级"/>
      <w:bookmarkEnd w:id="42"/>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43" w:name="昼间室外传声"/>
      <w:r>
        <w:rPr>
          <w:rFonts w:hint="eastAsia"/>
          <w:b/>
          <w:lang w:val="en-US"/>
        </w:rPr>
        <w:t>39</w:t>
      </w:r>
      <w:bookmarkEnd w:id="43"/>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44" w:name="夜间室外传声"/>
      <w:r>
        <w:rPr>
          <w:rFonts w:hint="eastAsia"/>
          <w:b/>
          <w:lang w:val="en-US"/>
        </w:rPr>
        <w:t>29</w:t>
      </w:r>
      <w:bookmarkEnd w:id="44"/>
      <w:r>
        <w:rPr>
          <w:rFonts w:hint="eastAsia"/>
          <w:b/>
          <w:lang w:val="en-US"/>
        </w:rPr>
        <w:t xml:space="preserve"> </w:t>
      </w:r>
      <w:r>
        <w:rPr>
          <w:b/>
        </w:rPr>
        <w:t>dB</w:t>
      </w:r>
      <w:r>
        <w:rPr>
          <w:rFonts w:hint="eastAsia"/>
          <w:b/>
        </w:rPr>
        <w:t>（</w:t>
      </w:r>
      <w:r>
        <w:rPr>
          <w:b/>
        </w:rPr>
        <w:t>A</w:t>
      </w:r>
      <w:r>
        <w:rPr>
          <w:rFonts w:hint="eastAsia"/>
          <w:b/>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45" w:name="建筑内声源传声"/>
      <w:bookmarkEnd w:id="4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w:t>
            </w:r>
          </w:p>
        </w:tc>
        <w:tc>
          <w:tcPr>
            <w:vAlign w:val="center"/>
          </w:tcPr>
          <w:p>
            <w:pPr>
              <w:jc w:val="center"/>
            </w:pPr>
            <w:r>
              <w:rPr>
                <w:b/>
              </w:rPr>
              <w:t>39</w:t>
            </w:r>
          </w:p>
        </w:tc>
        <w:tc>
          <w:tcPr>
            <w:vAlign w:val="center"/>
          </w:tcPr>
          <w:p>
            <w:pPr>
              <w:jc w:val="center"/>
            </w:pPr>
            <w:r>
              <w:rPr>
                <w:b/>
              </w:rPr>
              <w:t>29</w:t>
            </w:r>
          </w:p>
        </w:tc>
        <w:tc>
          <w:tcPr>
            <w:vAlign w:val="center"/>
          </w:tcPr>
          <w:p>
            <w:pPr>
              <w:jc w:val="center"/>
            </w:pPr>
            <w:r>
              <w:t>低限:≤45,高要求:≤40</w:t>
            </w:r>
          </w:p>
        </w:tc>
        <w:tc>
          <w:tcPr>
            <w:vAlign w:val="center"/>
          </w:tcPr>
          <w:p>
            <w:pPr>
              <w:jc w:val="center"/>
            </w:pPr>
            <w:r>
              <w:t>低限:≤37,高要求:≤30</w:t>
            </w:r>
          </w:p>
        </w:tc>
        <w:tc>
          <w:tcPr>
            <w:vAlign w:val="center"/>
          </w:tcPr>
          <w:p>
            <w:r>
              <w:rPr>
                <w:b/>
              </w:rPr>
              <w:t>满足高要求</w:t>
            </w:r>
          </w:p>
        </w:tc>
      </w:tr>
    </w:tbl>
    <w:p>
      <w:pPr>
        <w:jc w:val="center"/>
      </w:pPr>
      <w:bookmarkStart w:id="46" w:name="最不利房间室内噪声级统计"/>
      <w:bookmarkEnd w:id="46"/>
    </w:p>
    <w:bookmarkEnd w:id="24"/>
    <w:bookmarkEnd w:id="25"/>
    <w:p>
      <w:pPr>
        <w:pStyle w:val="2"/>
        <w:rPr>
          <w:kern w:val="2"/>
        </w:rPr>
      </w:pPr>
      <w:r>
        <w:rPr>
          <w:rFonts w:hint="eastAsia"/>
          <w:kern w:val="2"/>
        </w:rPr>
        <w:t>结论</w:t>
      </w:r>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7" w:name="最不利房间编号"/>
      <w:r>
        <w:t>6001房间,房间类型[卧室]</w:t>
      </w:r>
      <w:bookmarkEnd w:id="4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48" w:name="室内噪声控制项结论"/>
            <w:r>
              <w:t>满足</w:t>
            </w:r>
            <w:bookmarkEnd w:id="48"/>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49" w:name="室内噪声评分项结论"/>
            <w:r>
              <w:t>满足高要求</w:t>
            </w:r>
            <w:bookmarkEnd w:id="49"/>
          </w:p>
        </w:tc>
        <w:tc>
          <w:tcPr>
            <w:tcW w:w="724" w:type="dxa"/>
            <w:vAlign w:val="center"/>
          </w:tcPr>
          <w:p>
            <w:pPr>
              <w:jc w:val="center"/>
            </w:pPr>
            <w:bookmarkStart w:id="50" w:name="室内噪声得分"/>
            <w:r>
              <w:t>8</w:t>
            </w:r>
            <w:bookmarkEnd w:id="50"/>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791234E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5"/>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Company>ths</Company>
  <Pages>9</Pages>
  <Words>890</Words>
  <Characters>5077</Characters>
  <Lines>42</Lines>
  <Paragraphs>11</Paragraphs>
  <TotalTime>0</TotalTime>
  <ScaleCrop>false</ScaleCrop>
  <LinksUpToDate>false</LinksUpToDate>
  <CharactersWithSpaces>5956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Searchingforspring</cp:lastModifiedBy>
  <cp:lastPrinted>1900-12-31T16:00:00Z</cp:lastPrinted>
  <dcterms:modified xsi:type="dcterms:W3CDTF">2022-01-05T19:28:43Z</dcterms:modified>
  <dc:title>最不利房间室内噪声设计报告书_环评版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929077BBC54D407782229FAFB28C03CA</vt:lpwstr>
  </property>
</Properties>
</file>