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合肥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1E" w:rsidRDefault="00D0581E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T13291268258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882D06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11312" w:history="1">
        <w:r w:rsidR="00882D06" w:rsidRPr="0004081C">
          <w:rPr>
            <w:rStyle w:val="a4"/>
            <w:noProof/>
          </w:rPr>
          <w:t>1</w:t>
        </w:r>
        <w:r w:rsidR="00882D0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2D06" w:rsidRPr="0004081C">
          <w:rPr>
            <w:rStyle w:val="a4"/>
            <w:rFonts w:hint="eastAsia"/>
            <w:noProof/>
          </w:rPr>
          <w:t>住区概况</w:t>
        </w:r>
        <w:r w:rsidR="00882D06">
          <w:rPr>
            <w:noProof/>
            <w:webHidden/>
          </w:rPr>
          <w:tab/>
        </w:r>
        <w:r w:rsidR="00882D06">
          <w:rPr>
            <w:noProof/>
            <w:webHidden/>
          </w:rPr>
          <w:fldChar w:fldCharType="begin"/>
        </w:r>
        <w:r w:rsidR="00882D06">
          <w:rPr>
            <w:noProof/>
            <w:webHidden/>
          </w:rPr>
          <w:instrText xml:space="preserve"> PAGEREF _Toc91011312 \h </w:instrText>
        </w:r>
        <w:r w:rsidR="00882D06">
          <w:rPr>
            <w:noProof/>
            <w:webHidden/>
          </w:rPr>
        </w:r>
        <w:r w:rsidR="00882D06">
          <w:rPr>
            <w:noProof/>
            <w:webHidden/>
          </w:rPr>
          <w:fldChar w:fldCharType="separate"/>
        </w:r>
        <w:r w:rsidR="00882D06">
          <w:rPr>
            <w:noProof/>
            <w:webHidden/>
          </w:rPr>
          <w:t>3</w:t>
        </w:r>
        <w:r w:rsidR="00882D06">
          <w:rPr>
            <w:noProof/>
            <w:webHidden/>
          </w:rPr>
          <w:fldChar w:fldCharType="end"/>
        </w:r>
      </w:hyperlink>
    </w:p>
    <w:p w:rsidR="00882D06" w:rsidRDefault="00882D06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011313" w:history="1">
        <w:r w:rsidRPr="0004081C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011314" w:history="1">
        <w:r w:rsidRPr="0004081C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15" w:history="1">
        <w:r w:rsidRPr="0004081C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16" w:history="1">
        <w:r w:rsidRPr="0004081C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011317" w:history="1">
        <w:r w:rsidRPr="0004081C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18" w:history="1">
        <w:r w:rsidRPr="0004081C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19" w:history="1">
        <w:r w:rsidRPr="0004081C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011320" w:history="1">
        <w:r w:rsidRPr="0004081C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21" w:history="1">
        <w:r w:rsidRPr="0004081C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22" w:history="1">
        <w:r w:rsidRPr="0004081C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1011323" w:history="1">
        <w:r w:rsidRPr="0004081C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82D06" w:rsidRDefault="00882D06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011324" w:history="1">
        <w:r w:rsidRPr="0004081C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4081C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_Toc91011324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91011312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合肥</w:t>
            </w:r>
            <w:bookmarkEnd w:id="15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居住建筑</w:t>
            </w:r>
            <w:bookmarkEnd w:id="16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31.87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117.28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1" w:name="_Toc91011313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3" w:name="_Toc91011314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3"/>
    </w:p>
    <w:p w:rsidR="00D6136B" w:rsidRDefault="00D6136B">
      <w:pPr>
        <w:pStyle w:val="2"/>
      </w:pPr>
      <w:bookmarkStart w:id="24" w:name="_Toc91011315"/>
      <w:r>
        <w:rPr>
          <w:rFonts w:hint="eastAsia"/>
        </w:rPr>
        <w:t>规范要求</w:t>
      </w:r>
      <w:bookmarkEnd w:id="24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91011316"/>
      <w:r>
        <w:rPr>
          <w:rFonts w:hint="eastAsia"/>
        </w:rPr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91011317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91011318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D0581E">
        <w:tc>
          <w:tcPr>
            <w:tcW w:w="3118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D0581E">
        <w:tc>
          <w:tcPr>
            <w:tcW w:w="3118" w:type="dxa"/>
            <w:shd w:val="clear" w:color="auto" w:fill="E6E6E6"/>
            <w:vAlign w:val="center"/>
          </w:tcPr>
          <w:p w:rsidR="00D0581E" w:rsidRDefault="00D0581E"/>
        </w:tc>
        <w:tc>
          <w:tcPr>
            <w:tcW w:w="3107" w:type="dxa"/>
            <w:vAlign w:val="center"/>
          </w:tcPr>
          <w:p w:rsidR="00D0581E" w:rsidRDefault="008A4FB7">
            <w:r>
              <w:t>2839.2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17.0</w:t>
            </w:r>
          </w:p>
        </w:tc>
      </w:tr>
      <w:tr w:rsidR="00D0581E">
        <w:tc>
          <w:tcPr>
            <w:tcW w:w="3118" w:type="dxa"/>
            <w:shd w:val="clear" w:color="auto" w:fill="E6E6E6"/>
            <w:vAlign w:val="center"/>
          </w:tcPr>
          <w:p w:rsidR="00D0581E" w:rsidRDefault="008A4FB7">
            <w:r>
              <w:t>A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2166.9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19.4</w:t>
            </w:r>
          </w:p>
        </w:tc>
      </w:tr>
      <w:tr w:rsidR="00D0581E">
        <w:tc>
          <w:tcPr>
            <w:tcW w:w="3118" w:type="dxa"/>
            <w:shd w:val="clear" w:color="auto" w:fill="E6E6E6"/>
            <w:vAlign w:val="center"/>
          </w:tcPr>
          <w:p w:rsidR="00D0581E" w:rsidRDefault="008A4FB7">
            <w:r>
              <w:t>B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2328.2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19.4</w:t>
            </w:r>
          </w:p>
        </w:tc>
      </w:tr>
      <w:tr w:rsidR="00D0581E">
        <w:tc>
          <w:tcPr>
            <w:tcW w:w="3118" w:type="dxa"/>
            <w:shd w:val="clear" w:color="auto" w:fill="E6E6E6"/>
            <w:vAlign w:val="center"/>
          </w:tcPr>
          <w:p w:rsidR="00D0581E" w:rsidRDefault="008A4FB7">
            <w:r>
              <w:t>D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1317.5</w:t>
            </w:r>
          </w:p>
        </w:tc>
        <w:tc>
          <w:tcPr>
            <w:tcW w:w="3107" w:type="dxa"/>
            <w:vAlign w:val="center"/>
          </w:tcPr>
          <w:p w:rsidR="00D0581E" w:rsidRDefault="008A4FB7">
            <w:r>
              <w:t>16.6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91011319"/>
      <w:r>
        <w:rPr>
          <w:rFonts w:hint="eastAsia"/>
        </w:rPr>
        <w:lastRenderedPageBreak/>
        <w:t>各类面积指标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值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53623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建筑密度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0.16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44971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13885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1325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0</w:t>
            </w:r>
          </w:p>
        </w:tc>
      </w:tr>
      <w:tr w:rsidR="00D0581E">
        <w:tc>
          <w:tcPr>
            <w:tcW w:w="5093" w:type="dxa"/>
            <w:shd w:val="clear" w:color="auto" w:fill="E6E6E6"/>
            <w:vAlign w:val="center"/>
          </w:tcPr>
          <w:p w:rsidR="00D0581E" w:rsidRDefault="008A4FB7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D0581E" w:rsidRDefault="008A4FB7">
            <w:r>
              <w:t>102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91011320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bookmarkStart w:id="33" w:name="_Toc91011321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D0581E">
        <w:tc>
          <w:tcPr>
            <w:tcW w:w="1171" w:type="dxa"/>
            <w:vMerge w:val="restart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D0581E">
        <w:tc>
          <w:tcPr>
            <w:tcW w:w="1171" w:type="dxa"/>
            <w:vMerge/>
            <w:shd w:val="clear" w:color="auto" w:fill="E6E6E6"/>
            <w:vAlign w:val="center"/>
          </w:tcPr>
          <w:p w:rsidR="00D0581E" w:rsidRDefault="00D0581E"/>
        </w:tc>
        <w:tc>
          <w:tcPr>
            <w:tcW w:w="1165" w:type="dxa"/>
            <w:shd w:val="clear" w:color="auto" w:fill="E6E6E6"/>
            <w:vAlign w:val="center"/>
          </w:tcPr>
          <w:p w:rsidR="00D0581E" w:rsidRDefault="008A4FB7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0581E" w:rsidRDefault="008A4FB7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0581E" w:rsidRDefault="008A4FB7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D0581E" w:rsidRDefault="00D0581E"/>
        </w:tc>
        <w:tc>
          <w:tcPr>
            <w:tcW w:w="1165" w:type="dxa"/>
            <w:vMerge/>
            <w:shd w:val="clear" w:color="auto" w:fill="E6E6E6"/>
            <w:vAlign w:val="center"/>
          </w:tcPr>
          <w:p w:rsidR="00D0581E" w:rsidRDefault="00D0581E"/>
        </w:tc>
        <w:tc>
          <w:tcPr>
            <w:tcW w:w="1165" w:type="dxa"/>
            <w:vMerge/>
            <w:shd w:val="clear" w:color="auto" w:fill="E6E6E6"/>
            <w:vAlign w:val="center"/>
          </w:tcPr>
          <w:p w:rsidR="00D0581E" w:rsidRDefault="00D0581E"/>
        </w:tc>
        <w:tc>
          <w:tcPr>
            <w:tcW w:w="1165" w:type="dxa"/>
            <w:vMerge/>
            <w:shd w:val="clear" w:color="auto" w:fill="E6E6E6"/>
            <w:vAlign w:val="center"/>
          </w:tcPr>
          <w:p w:rsidR="00D0581E" w:rsidRDefault="00D0581E"/>
        </w:tc>
      </w:tr>
      <w:tr w:rsidR="00D0581E">
        <w:tc>
          <w:tcPr>
            <w:tcW w:w="1171" w:type="dxa"/>
            <w:shd w:val="clear" w:color="auto" w:fill="E6E6E6"/>
            <w:vAlign w:val="center"/>
          </w:tcPr>
          <w:p w:rsidR="00D0581E" w:rsidRDefault="008A4FB7">
            <w:r>
              <w:t>广场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259.4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202.8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1969.2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10.3</w:t>
            </w:r>
          </w:p>
        </w:tc>
      </w:tr>
      <w:tr w:rsidR="00D0581E">
        <w:tc>
          <w:tcPr>
            <w:tcW w:w="1171" w:type="dxa"/>
            <w:shd w:val="clear" w:color="auto" w:fill="E6E6E6"/>
            <w:vAlign w:val="center"/>
          </w:tcPr>
          <w:p w:rsidR="00D0581E" w:rsidRDefault="008A4FB7">
            <w:r>
              <w:t>人行道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49.1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53.7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44.5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1976.5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2.3</w:t>
            </w:r>
          </w:p>
        </w:tc>
      </w:tr>
      <w:tr w:rsidR="00D0581E">
        <w:tc>
          <w:tcPr>
            <w:tcW w:w="1171" w:type="dxa"/>
            <w:shd w:val="clear" w:color="auto" w:fill="E6E6E6"/>
            <w:vAlign w:val="center"/>
          </w:tcPr>
          <w:p w:rsidR="00D0581E" w:rsidRDefault="008A4FB7">
            <w:r>
              <w:t>合计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308.5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53.7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247.3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3945.7</w:t>
            </w:r>
          </w:p>
        </w:tc>
        <w:tc>
          <w:tcPr>
            <w:tcW w:w="1165" w:type="dxa"/>
            <w:vAlign w:val="center"/>
          </w:tcPr>
          <w:p w:rsidR="00D0581E" w:rsidRDefault="008A4FB7">
            <w:r>
              <w:t>6.3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4" w:name="计算结果"/>
      <w:bookmarkEnd w:id="34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  <w:lang w:val="en-US"/>
        </w:rPr>
        <w:drawing>
          <wp:inline distT="0" distB="0" distL="0" distR="0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1E" w:rsidRDefault="00D0581E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6" w:name="_Toc91011322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6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581E">
        <w:tc>
          <w:tcPr>
            <w:tcW w:w="1866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212.3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212.3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212.3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16.8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16.8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16.8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11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79.3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79.3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79.3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9.7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12.3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12.3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12.3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11.9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11.9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11.9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162.2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162.2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162.2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15.9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15.9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15.9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18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64.0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64.0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64.0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85.5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85.5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85.5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65.0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65.0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65.0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21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54.3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54.3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54.3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41.5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41.5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41.5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54.4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54.4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54.4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27.7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27.7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27.7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166.2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166.2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166.2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95.4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95.4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95.4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27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98.6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98.6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98.6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82.6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82.6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82.6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95.2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95.2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95.2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55.7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55.7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55.7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6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53.8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53.8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53.8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73.0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73.0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73.0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8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130.7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130.7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130.7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车道</w:t>
            </w:r>
            <w:r>
              <w:t>9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55.0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0.40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55.0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55.0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合计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1819.1</w:t>
            </w:r>
          </w:p>
        </w:tc>
        <w:tc>
          <w:tcPr>
            <w:tcW w:w="1866" w:type="dxa"/>
            <w:vAlign w:val="center"/>
          </w:tcPr>
          <w:p w:rsidR="00D0581E" w:rsidRDefault="00D0581E"/>
        </w:tc>
        <w:tc>
          <w:tcPr>
            <w:tcW w:w="1866" w:type="dxa"/>
            <w:vAlign w:val="center"/>
          </w:tcPr>
          <w:p w:rsidR="00D0581E" w:rsidRDefault="008A4FB7">
            <w:r>
              <w:t>1819.1</w:t>
            </w:r>
          </w:p>
        </w:tc>
        <w:tc>
          <w:tcPr>
            <w:tcW w:w="1866" w:type="dxa"/>
            <w:vAlign w:val="center"/>
          </w:tcPr>
          <w:p w:rsidR="00D0581E" w:rsidRDefault="008A4FB7">
            <w:r>
              <w:t>1819.1</w:t>
            </w:r>
          </w:p>
        </w:tc>
      </w:tr>
      <w:tr w:rsidR="00D0581E">
        <w:tc>
          <w:tcPr>
            <w:tcW w:w="1866" w:type="dxa"/>
            <w:vAlign w:val="center"/>
          </w:tcPr>
          <w:p w:rsidR="00D0581E" w:rsidRDefault="008A4FB7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D0581E" w:rsidRDefault="008A4FB7">
            <w: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7" w:name="车道遮阴率"/>
      <w:bookmarkEnd w:id="37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  <w:lang w:val="en-US"/>
        </w:rPr>
        <w:lastRenderedPageBreak/>
        <w:drawing>
          <wp:inline distT="0" distB="0" distL="0" distR="0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1E" w:rsidRDefault="00D0581E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9" w:name="_Toc91011323"/>
      <w:r>
        <w:rPr>
          <w:rFonts w:hint="eastAsia"/>
        </w:rPr>
        <w:t>屋顶热环境</w:t>
      </w:r>
      <w:r>
        <w:t>指标</w:t>
      </w:r>
      <w:bookmarkEnd w:id="39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D0581E">
        <w:tc>
          <w:tcPr>
            <w:tcW w:w="155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屋顶绿化面积</w:t>
            </w:r>
            <w:r>
              <w:br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D0581E" w:rsidRDefault="008A4FB7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D0581E">
        <w:tc>
          <w:tcPr>
            <w:tcW w:w="1555" w:type="dxa"/>
            <w:vAlign w:val="center"/>
          </w:tcPr>
          <w:p w:rsidR="00D0581E" w:rsidRDefault="00D0581E"/>
        </w:tc>
        <w:tc>
          <w:tcPr>
            <w:tcW w:w="1555" w:type="dxa"/>
            <w:vAlign w:val="center"/>
          </w:tcPr>
          <w:p w:rsidR="00D0581E" w:rsidRDefault="008A4FB7">
            <w:r>
              <w:t>2839.2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2839.2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100.0</w:t>
            </w:r>
          </w:p>
        </w:tc>
      </w:tr>
      <w:tr w:rsidR="00D0581E">
        <w:tc>
          <w:tcPr>
            <w:tcW w:w="1555" w:type="dxa"/>
            <w:vAlign w:val="center"/>
          </w:tcPr>
          <w:p w:rsidR="00D0581E" w:rsidRDefault="008A4FB7">
            <w:r>
              <w:t>A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2166.9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</w:tr>
      <w:tr w:rsidR="00D0581E">
        <w:tc>
          <w:tcPr>
            <w:tcW w:w="1555" w:type="dxa"/>
            <w:vAlign w:val="center"/>
          </w:tcPr>
          <w:p w:rsidR="00D0581E" w:rsidRDefault="008A4FB7">
            <w:r>
              <w:t>B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2328.2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</w:tr>
      <w:tr w:rsidR="00D0581E">
        <w:tc>
          <w:tcPr>
            <w:tcW w:w="1555" w:type="dxa"/>
            <w:vAlign w:val="center"/>
          </w:tcPr>
          <w:p w:rsidR="00D0581E" w:rsidRDefault="008A4FB7">
            <w:r>
              <w:t>D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1317.5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</w:tr>
      <w:tr w:rsidR="00D0581E">
        <w:tc>
          <w:tcPr>
            <w:tcW w:w="1555" w:type="dxa"/>
            <w:vAlign w:val="center"/>
          </w:tcPr>
          <w:p w:rsidR="00D0581E" w:rsidRDefault="008A4FB7">
            <w:r>
              <w:t>合计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8651.9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0.0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2839.2</w:t>
            </w:r>
          </w:p>
        </w:tc>
        <w:tc>
          <w:tcPr>
            <w:tcW w:w="1555" w:type="dxa"/>
            <w:vAlign w:val="center"/>
          </w:tcPr>
          <w:p w:rsidR="00D0581E" w:rsidRDefault="008A4FB7">
            <w:r>
              <w:t>32.8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91011324"/>
      <w:r w:rsidRPr="0068672A">
        <w:rPr>
          <w:rFonts w:hint="eastAsia"/>
        </w:rPr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41"/>
        <w:gridCol w:w="4951"/>
        <w:gridCol w:w="2621"/>
        <w:gridCol w:w="581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lastRenderedPageBreak/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值"/>
            <w:r>
              <w:t>6.3%</w:t>
            </w:r>
            <w:bookmarkEnd w:id="42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活动场地遮阴率得分"/>
            <w:r>
              <w:t>0</w:t>
            </w:r>
            <w:bookmarkEnd w:id="43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100.0%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6" w:name="屋顶遮阴率值"/>
            <w:r>
              <w:t>32.8%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得分"/>
            <w:r>
              <w:t>0</w:t>
            </w:r>
            <w:bookmarkEnd w:id="47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8" w:name="降热措施总得分"/>
            <w:r>
              <w:t>3</w:t>
            </w:r>
            <w:bookmarkEnd w:id="48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3"/>
      <w:footerReference w:type="even" r:id="rId14"/>
      <w:footerReference w:type="default" r:id="rId1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B7" w:rsidRDefault="008A4FB7">
      <w:r>
        <w:separator/>
      </w:r>
    </w:p>
  </w:endnote>
  <w:endnote w:type="continuationSeparator" w:id="0">
    <w:p w:rsidR="008A4FB7" w:rsidRDefault="008A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82D06">
      <w:rPr>
        <w:rStyle w:val="a5"/>
        <w:noProof/>
      </w:rPr>
      <w:t>5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B7" w:rsidRDefault="008A4FB7">
      <w:r>
        <w:separator/>
      </w:r>
    </w:p>
  </w:footnote>
  <w:footnote w:type="continuationSeparator" w:id="0">
    <w:p w:rsidR="008A4FB7" w:rsidRDefault="008A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06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2D06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4FB7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581E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  <w:style w:type="paragraph" w:styleId="ab">
    <w:name w:val="Balloon Text"/>
    <w:basedOn w:val="a"/>
    <w:link w:val="Char0"/>
    <w:semiHidden/>
    <w:unhideWhenUsed/>
    <w:rsid w:val="00882D06"/>
    <w:rPr>
      <w:sz w:val="18"/>
      <w:szCs w:val="18"/>
    </w:rPr>
  </w:style>
  <w:style w:type="character" w:customStyle="1" w:styleId="Char0">
    <w:name w:val="批注框文本 Char"/>
    <w:basedOn w:val="a1"/>
    <w:link w:val="ab"/>
    <w:semiHidden/>
    <w:rsid w:val="00882D06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  <w:style w:type="paragraph" w:styleId="ab">
    <w:name w:val="Balloon Text"/>
    <w:basedOn w:val="a"/>
    <w:link w:val="Char0"/>
    <w:semiHidden/>
    <w:unhideWhenUsed/>
    <w:rsid w:val="00882D06"/>
    <w:rPr>
      <w:sz w:val="18"/>
      <w:szCs w:val="18"/>
    </w:rPr>
  </w:style>
  <w:style w:type="character" w:customStyle="1" w:styleId="Char0">
    <w:name w:val="批注框文本 Char"/>
    <w:basedOn w:val="a1"/>
    <w:link w:val="ab"/>
    <w:semiHidden/>
    <w:rsid w:val="00882D0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</Pages>
  <Words>638</Words>
  <Characters>3638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Company>ths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Windows 用户</dc:creator>
  <cp:lastModifiedBy>Windows 用户</cp:lastModifiedBy>
  <cp:revision>2</cp:revision>
  <cp:lastPrinted>1900-12-31T16:00:00Z</cp:lastPrinted>
  <dcterms:created xsi:type="dcterms:W3CDTF">2021-12-21T12:34:00Z</dcterms:created>
  <dcterms:modified xsi:type="dcterms:W3CDTF">2021-12-21T12:35:00Z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