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海南-三亚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2022年1月3日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T15903265170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_Toc28541 </w:instrText>
      </w:r>
      <w:r>
        <w:rPr>
          <w:rFonts w:ascii="宋体" w:hAnsi="宋体"/>
          <w:bCs w:val="0"/>
          <w:caps/>
        </w:rPr>
        <w:fldChar w:fldCharType="separate"/>
      </w:r>
      <w:r>
        <w:rPr>
          <w:rFonts w:hint="eastAsia"/>
        </w:rPr>
        <w:t>1 建筑概况</w:t>
      </w:r>
      <w:r>
        <w:tab/>
      </w:r>
      <w:r>
        <w:fldChar w:fldCharType="begin"/>
      </w:r>
      <w:r>
        <w:instrText xml:space="preserve"> PAGEREF _Toc28541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_Toc18692 </w:instrText>
      </w:r>
      <w:r>
        <w:fldChar w:fldCharType="separate"/>
      </w:r>
      <w:r>
        <w:rPr>
          <w:rFonts w:hint="eastAsia"/>
        </w:rPr>
        <w:t>2 计算依据</w:t>
      </w:r>
      <w:r>
        <w:tab/>
      </w:r>
      <w:r>
        <w:fldChar w:fldCharType="begin"/>
      </w:r>
      <w:r>
        <w:instrText xml:space="preserve"> PAGEREF _Toc18692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_Toc29245 </w:instrText>
      </w:r>
      <w:r>
        <w:fldChar w:fldCharType="separate"/>
      </w:r>
      <w:r>
        <w:rPr>
          <w:rFonts w:hint="eastAsia"/>
        </w:rPr>
        <w:t>3 计算要求</w:t>
      </w:r>
      <w:r>
        <w:tab/>
      </w:r>
      <w:r>
        <w:fldChar w:fldCharType="begin"/>
      </w:r>
      <w:r>
        <w:instrText xml:space="preserve"> PAGEREF _Toc29245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_Toc11414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_Toc11414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_Toc5426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_Toc5426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_Toc10071 </w:instrText>
      </w:r>
      <w:r>
        <w:fldChar w:fldCharType="separate"/>
      </w:r>
      <w:r>
        <w:rPr>
          <w:rFonts w:hint="eastAsia"/>
        </w:rPr>
        <w:t>4 气象数据</w:t>
      </w:r>
      <w:r>
        <w:tab/>
      </w:r>
      <w:r>
        <w:fldChar w:fldCharType="begin"/>
      </w:r>
      <w:r>
        <w:instrText xml:space="preserve"> PAGEREF _Toc10071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_Toc5167 </w:instrText>
      </w:r>
      <w:r>
        <w:fldChar w:fldCharType="separate"/>
      </w:r>
      <w:r>
        <w:rPr>
          <w:rFonts w:hint="eastAsia"/>
          <w:lang w:val="en-GB"/>
        </w:rPr>
        <w:t xml:space="preserve">4.1 </w:t>
      </w:r>
      <w:r>
        <w:rPr>
          <w:rFonts w:hint="eastAsia"/>
        </w:rPr>
        <w:t>气象地点</w:t>
      </w:r>
      <w:r>
        <w:tab/>
      </w:r>
      <w:r>
        <w:fldChar w:fldCharType="begin"/>
      </w:r>
      <w:r>
        <w:instrText xml:space="preserve"> PAGEREF _Toc5167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_Toc3646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_Toc3646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_Toc7929 </w:instrText>
      </w:r>
      <w:r>
        <w:fldChar w:fldCharType="separate"/>
      </w:r>
      <w:r>
        <w:rPr>
          <w:rFonts w:hint="eastAsia"/>
          <w:lang w:val="en-GB"/>
        </w:rPr>
        <w:t xml:space="preserve">4.3 </w:t>
      </w:r>
      <w:r>
        <w:rPr>
          <w:rFonts w:hint="eastAsia"/>
        </w:rPr>
        <w:t>逐月辐照量表</w:t>
      </w:r>
      <w:r>
        <w:tab/>
      </w:r>
      <w:r>
        <w:fldChar w:fldCharType="begin"/>
      </w:r>
      <w:r>
        <w:instrText xml:space="preserve"> PAGEREF _Toc7929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_Toc28165 </w:instrText>
      </w:r>
      <w:r>
        <w:fldChar w:fldCharType="separate"/>
      </w:r>
      <w:r>
        <w:rPr>
          <w:rFonts w:hint="eastAsia"/>
          <w:lang w:val="en-GB"/>
        </w:rPr>
        <w:t xml:space="preserve">4.4 </w:t>
      </w:r>
      <w:r>
        <w:rPr>
          <w:rFonts w:hint="eastAsia"/>
        </w:rPr>
        <w:t>峰值工况</w:t>
      </w:r>
      <w:r>
        <w:tab/>
      </w:r>
      <w:r>
        <w:fldChar w:fldCharType="begin"/>
      </w:r>
      <w:r>
        <w:instrText xml:space="preserve"> PAGEREF _Toc28165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_Toc17246 </w:instrText>
      </w:r>
      <w:r>
        <w:fldChar w:fldCharType="separate"/>
      </w:r>
      <w:r>
        <w:rPr>
          <w:rFonts w:hint="eastAsia"/>
        </w:rPr>
        <w:t xml:space="preserve">5 </w:t>
      </w:r>
      <w:r>
        <w:t>围护结构</w:t>
      </w:r>
      <w:r>
        <w:tab/>
      </w:r>
      <w:r>
        <w:fldChar w:fldCharType="begin"/>
      </w:r>
      <w:r>
        <w:instrText xml:space="preserve"> PAGEREF _Toc17246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_Toc26957 </w:instrText>
      </w:r>
      <w:r>
        <w:fldChar w:fldCharType="separate"/>
      </w:r>
      <w:r>
        <w:rPr>
          <w:rFonts w:hint="eastAsia"/>
          <w:lang w:val="en-GB"/>
        </w:rPr>
        <w:t xml:space="preserve">5.1 </w:t>
      </w:r>
      <w:r>
        <w:t>工程材料</w:t>
      </w:r>
      <w:r>
        <w:tab/>
      </w:r>
      <w:r>
        <w:fldChar w:fldCharType="begin"/>
      </w:r>
      <w:r>
        <w:instrText xml:space="preserve"> PAGEREF _Toc26957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_Toc32065 </w:instrText>
      </w:r>
      <w:r>
        <w:fldChar w:fldCharType="separate"/>
      </w:r>
      <w:r>
        <w:rPr>
          <w:rFonts w:hint="eastAsia"/>
          <w:lang w:val="en-GB"/>
        </w:rPr>
        <w:t xml:space="preserve">5.2 </w:t>
      </w:r>
      <w:r>
        <w:t>围护结构作法简要说明</w:t>
      </w:r>
      <w:r>
        <w:tab/>
      </w:r>
      <w:r>
        <w:fldChar w:fldCharType="begin"/>
      </w:r>
      <w:r>
        <w:instrText xml:space="preserve"> PAGEREF _Toc32065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_Toc2320 </w:instrText>
      </w:r>
      <w:r>
        <w:fldChar w:fldCharType="separate"/>
      </w:r>
      <w:r>
        <w:rPr>
          <w:rFonts w:hint="eastAsia"/>
        </w:rPr>
        <w:t xml:space="preserve">6 </w:t>
      </w:r>
      <w:r>
        <w:t>房间类型</w:t>
      </w:r>
      <w:r>
        <w:tab/>
      </w:r>
      <w:r>
        <w:fldChar w:fldCharType="begin"/>
      </w:r>
      <w:r>
        <w:instrText xml:space="preserve"> PAGEREF _Toc2320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_Toc17359 </w:instrText>
      </w:r>
      <w:r>
        <w:fldChar w:fldCharType="separate"/>
      </w:r>
      <w:r>
        <w:rPr>
          <w:rFonts w:hint="eastAsia"/>
          <w:lang w:val="en-GB"/>
        </w:rPr>
        <w:t xml:space="preserve">6.1 </w:t>
      </w:r>
      <w:r>
        <w:t>房间表</w:t>
      </w:r>
      <w:r>
        <w:tab/>
      </w:r>
      <w:r>
        <w:fldChar w:fldCharType="begin"/>
      </w:r>
      <w:r>
        <w:instrText xml:space="preserve"> PAGEREF _Toc17359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_Toc6523 </w:instrText>
      </w:r>
      <w:r>
        <w:fldChar w:fldCharType="separate"/>
      </w:r>
      <w:r>
        <w:rPr>
          <w:rFonts w:hint="eastAsia"/>
          <w:lang w:val="en-GB"/>
        </w:rPr>
        <w:t xml:space="preserve">6.2 </w:t>
      </w:r>
      <w:r>
        <w:t>作息时间表</w:t>
      </w:r>
      <w:r>
        <w:tab/>
      </w:r>
      <w:r>
        <w:fldChar w:fldCharType="begin"/>
      </w:r>
      <w:r>
        <w:instrText xml:space="preserve"> PAGEREF _Toc6523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_Toc25967 </w:instrText>
      </w:r>
      <w:r>
        <w:fldChar w:fldCharType="separate"/>
      </w:r>
      <w:r>
        <w:rPr>
          <w:rFonts w:hint="eastAsia"/>
        </w:rPr>
        <w:t xml:space="preserve">7 </w:t>
      </w:r>
      <w:r>
        <w:t>计算结果</w:t>
      </w:r>
      <w:r>
        <w:tab/>
      </w:r>
      <w:r>
        <w:fldChar w:fldCharType="begin"/>
      </w:r>
      <w:r>
        <w:instrText xml:space="preserve"> PAGEREF _Toc25967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_Toc16026 </w:instrText>
      </w:r>
      <w:r>
        <w:fldChar w:fldCharType="separate"/>
      </w:r>
      <w:r>
        <w:rPr>
          <w:rFonts w:hint="eastAsia"/>
          <w:lang w:val="en-GB"/>
        </w:rPr>
        <w:t xml:space="preserve">7.1 </w:t>
      </w:r>
      <w:r>
        <w:t>围护结构热工性能对比</w:t>
      </w:r>
      <w:r>
        <w:tab/>
      </w:r>
      <w:r>
        <w:fldChar w:fldCharType="begin"/>
      </w:r>
      <w:r>
        <w:instrText xml:space="preserve"> PAGEREF _Toc16026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_Toc20531 </w:instrText>
      </w:r>
      <w:r>
        <w:fldChar w:fldCharType="separate"/>
      </w:r>
      <w:r>
        <w:rPr>
          <w:rFonts w:hint="eastAsia"/>
          <w:lang w:val="en-GB"/>
        </w:rPr>
        <w:t xml:space="preserve">7.2 </w:t>
      </w:r>
      <w:r>
        <w:t>负荷分项统计</w:t>
      </w:r>
      <w:r>
        <w:tab/>
      </w:r>
      <w:r>
        <w:fldChar w:fldCharType="begin"/>
      </w:r>
      <w:r>
        <w:instrText xml:space="preserve"> PAGEREF _Toc20531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_Toc1929 </w:instrText>
      </w:r>
      <w:r>
        <w:fldChar w:fldCharType="separate"/>
      </w:r>
      <w:r>
        <w:rPr>
          <w:rFonts w:hint="eastAsia"/>
          <w:lang w:val="en-GB"/>
        </w:rPr>
        <w:t xml:space="preserve">7.3 </w:t>
      </w:r>
      <w:r>
        <w:t>围护结构节能率</w:t>
      </w:r>
      <w:r>
        <w:tab/>
      </w:r>
      <w:r>
        <w:fldChar w:fldCharType="begin"/>
      </w:r>
      <w:r>
        <w:instrText xml:space="preserve"> PAGEREF _Toc1929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_Toc4819 </w:instrText>
      </w:r>
      <w:r>
        <w:fldChar w:fldCharType="separate"/>
      </w:r>
      <w:r>
        <w:rPr>
          <w:rFonts w:hint="eastAsia"/>
        </w:rPr>
        <w:t xml:space="preserve">8 </w:t>
      </w:r>
      <w:r>
        <w:t>绿色建筑性能评估得分</w:t>
      </w:r>
      <w:r>
        <w:tab/>
      </w:r>
      <w:r>
        <w:fldChar w:fldCharType="begin"/>
      </w:r>
      <w:r>
        <w:instrText xml:space="preserve"> PAGEREF _Toc4819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_Toc15363 </w:instrText>
      </w:r>
      <w:r>
        <w:fldChar w:fldCharType="separate"/>
      </w:r>
      <w:r>
        <w:rPr>
          <w:rFonts w:hint="eastAsia"/>
          <w:lang w:val="en-GB"/>
        </w:rPr>
        <w:t xml:space="preserve">8.1 </w:t>
      </w:r>
      <w:r>
        <w:t>优化建筑围护结构的热工性能</w:t>
      </w:r>
      <w:r>
        <w:tab/>
      </w:r>
      <w:r>
        <w:fldChar w:fldCharType="begin"/>
      </w:r>
      <w:r>
        <w:instrText xml:space="preserve"> PAGEREF _Toc15363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_Toc631 </w:instrText>
      </w:r>
      <w:r>
        <w:fldChar w:fldCharType="separate"/>
      </w:r>
      <w:r>
        <w:rPr>
          <w:rFonts w:hint="eastAsia"/>
        </w:rPr>
        <w:t xml:space="preserve">9 </w:t>
      </w:r>
      <w:r>
        <w:t>附录</w:t>
      </w:r>
      <w:r>
        <w:tab/>
      </w:r>
      <w:r>
        <w:fldChar w:fldCharType="begin"/>
      </w:r>
      <w:r>
        <w:instrText xml:space="preserve"> PAGEREF _Toc631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_Toc16258 </w:instrText>
      </w:r>
      <w:r>
        <w:fldChar w:fldCharType="separate"/>
      </w:r>
      <w:r>
        <w:rPr>
          <w:rFonts w:hint="eastAsia"/>
          <w:lang w:val="en-GB"/>
        </w:rPr>
        <w:t xml:space="preserve">9.1 </w:t>
      </w:r>
      <w:r>
        <w:t>工作日/节假日人员逐时在室率(%)</w:t>
      </w:r>
      <w:r>
        <w:tab/>
      </w:r>
      <w:r>
        <w:fldChar w:fldCharType="begin"/>
      </w:r>
      <w:r>
        <w:instrText xml:space="preserve"> PAGEREF _Toc16258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_Toc5083 </w:instrText>
      </w:r>
      <w:r>
        <w:fldChar w:fldCharType="separate"/>
      </w:r>
      <w:r>
        <w:rPr>
          <w:rFonts w:hint="eastAsia"/>
          <w:lang w:val="en-GB"/>
        </w:rPr>
        <w:t xml:space="preserve">9.2 </w:t>
      </w:r>
      <w:r>
        <w:t>工作日/节假日照明开关时间表(%)</w:t>
      </w:r>
      <w:r>
        <w:tab/>
      </w:r>
      <w:r>
        <w:fldChar w:fldCharType="begin"/>
      </w:r>
      <w:r>
        <w:instrText xml:space="preserve"> PAGEREF _Toc5083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_Toc32338 </w:instrText>
      </w:r>
      <w:r>
        <w:fldChar w:fldCharType="separate"/>
      </w:r>
      <w:r>
        <w:rPr>
          <w:rFonts w:hint="eastAsia"/>
          <w:lang w:val="en-GB"/>
        </w:rPr>
        <w:t xml:space="preserve">9.3 </w:t>
      </w:r>
      <w:r>
        <w:t>工作日/节假日设备逐时使用率(%)</w:t>
      </w:r>
      <w:r>
        <w:tab/>
      </w:r>
      <w:r>
        <w:fldChar w:fldCharType="begin"/>
      </w:r>
      <w:r>
        <w:instrText xml:space="preserve"> PAGEREF _Toc32338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28541"/>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海南-三亚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18.23°</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109.52°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2713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5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22.0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11785.30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5956.35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全年控温</w:t>
            </w:r>
            <w:bookmarkEnd w:id="29"/>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18692"/>
      <w:r>
        <w:rPr>
          <w:rFonts w:hint="eastAsia"/>
        </w:rPr>
        <w:t>计算依据</w:t>
      </w:r>
      <w:bookmarkEnd w:id="31"/>
    </w:p>
    <w:bookmarkEnd w:id="30"/>
    <w:p>
      <w:pPr>
        <w:widowControl w:val="0"/>
        <w:jc w:val="both"/>
        <w:rPr>
          <w:kern w:val="2"/>
          <w:szCs w:val="24"/>
          <w:lang w:val="en-US"/>
        </w:rPr>
      </w:pPr>
      <w:bookmarkStart w:id="32" w:name="计算依据"/>
      <w:bookmarkEnd w:id="32"/>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《公共建筑节能设计标准》(GB50189-2015)</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pPr>
      <w:bookmarkStart w:id="33" w:name="_Toc13616"/>
      <w:bookmarkStart w:id="34" w:name="_Toc29245"/>
      <w:r>
        <w:rPr>
          <w:rFonts w:hint="eastAsia"/>
        </w:rPr>
        <w:t>计算要求</w:t>
      </w:r>
      <w:bookmarkEnd w:id="33"/>
      <w:bookmarkEnd w:id="34"/>
    </w:p>
    <w:p>
      <w:pPr>
        <w:pStyle w:val="4"/>
        <w:tabs>
          <w:tab w:val="clear" w:pos="578"/>
        </w:tabs>
        <w:rPr>
          <w:kern w:val="2"/>
          <w:sz w:val="21"/>
        </w:rPr>
      </w:pPr>
      <w:bookmarkStart w:id="35" w:name="_Toc22090"/>
      <w:bookmarkStart w:id="36" w:name="_Toc11414"/>
      <w:r>
        <w:rPr>
          <w:rFonts w:hint="eastAsia"/>
          <w:kern w:val="2"/>
          <w:sz w:val="21"/>
        </w:rPr>
        <w:t>计算目标</w:t>
      </w:r>
      <w:bookmarkEnd w:id="35"/>
      <w:bookmarkEnd w:id="36"/>
    </w:p>
    <w:p>
      <w:pPr>
        <w:ind w:firstLine="420" w:firstLineChars="200"/>
        <w:rPr>
          <w:kern w:val="2"/>
          <w:szCs w:val="24"/>
          <w:lang w:val="en-US"/>
        </w:rPr>
      </w:pPr>
      <w:r>
        <w:rPr>
          <w:rFonts w:hint="eastAsia"/>
          <w:szCs w:val="21"/>
          <w:lang w:val="en-US"/>
        </w:rPr>
        <w:t>依据《绿色建筑评价标准》(GB/T50378-201</w:t>
      </w:r>
      <w:r>
        <w:rPr>
          <w:szCs w:val="21"/>
          <w:lang w:val="en-US"/>
        </w:rPr>
        <w:t>9</w:t>
      </w:r>
      <w:r>
        <w:rPr>
          <w:rFonts w:hint="eastAsia"/>
          <w:szCs w:val="21"/>
          <w:lang w:val="en-US"/>
        </w:rPr>
        <w:t>)第7.2.4条相关内容，对于建筑围护结构节能率进行计算。</w:t>
      </w:r>
      <w:r>
        <w:rPr>
          <w:rFonts w:hint="eastAsia"/>
          <w:kern w:val="2"/>
          <w:szCs w:val="24"/>
          <w:lang w:val="en-US"/>
        </w:rPr>
        <w:t xml:space="preserve"> </w:t>
      </w:r>
    </w:p>
    <w:p>
      <w:pPr>
        <w:pStyle w:val="4"/>
        <w:tabs>
          <w:tab w:val="clear" w:pos="578"/>
        </w:tabs>
        <w:rPr>
          <w:kern w:val="2"/>
          <w:sz w:val="21"/>
        </w:rPr>
      </w:pPr>
      <w:bookmarkStart w:id="37" w:name="_Toc5419"/>
      <w:bookmarkStart w:id="38" w:name="_Toc5426"/>
      <w:r>
        <w:rPr>
          <w:rFonts w:hint="eastAsia"/>
          <w:kern w:val="2"/>
          <w:sz w:val="21"/>
        </w:rPr>
        <w:t>计算方法</w:t>
      </w:r>
      <w:bookmarkEnd w:id="37"/>
      <w:bookmarkEnd w:id="38"/>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9" w:name="_Toc444763006"/>
    </w:p>
    <w:bookmarkEnd w:id="39"/>
    <w:p>
      <w:pPr>
        <w:pStyle w:val="2"/>
      </w:pPr>
      <w:bookmarkStart w:id="40" w:name="_Toc10071"/>
      <w:r>
        <w:rPr>
          <w:rFonts w:hint="eastAsia"/>
        </w:rPr>
        <w:t>气象数据</w:t>
      </w:r>
      <w:bookmarkEnd w:id="40"/>
    </w:p>
    <w:p>
      <w:pPr>
        <w:pStyle w:val="4"/>
      </w:pPr>
      <w:bookmarkStart w:id="41" w:name="_Toc5167"/>
      <w:r>
        <w:rPr>
          <w:rFonts w:hint="eastAsia"/>
        </w:rPr>
        <w:t>气象地点</w:t>
      </w:r>
      <w:bookmarkEnd w:id="41"/>
    </w:p>
    <w:p>
      <w:pPr>
        <w:pStyle w:val="3"/>
        <w:ind w:firstLine="420"/>
        <w:rPr>
          <w:lang w:val="en-US"/>
        </w:rPr>
      </w:pPr>
      <w:bookmarkStart w:id="42" w:name="气象数据来源"/>
      <w:r>
        <w:t>海南-东方, 《中国建筑热环境分析专用气象数据集》</w:t>
      </w:r>
      <w:bookmarkEnd w:id="42"/>
    </w:p>
    <w:p>
      <w:pPr>
        <w:pStyle w:val="4"/>
      </w:pPr>
      <w:bookmarkStart w:id="43" w:name="_Toc3646"/>
      <w:r>
        <w:rPr>
          <w:rFonts w:hint="eastAsia"/>
        </w:rPr>
        <w:t>逐日干球温度表</w:t>
      </w:r>
      <w:bookmarkEnd w:id="43"/>
    </w:p>
    <w:p>
      <w:pPr>
        <w:pStyle w:val="3"/>
        <w:ind w:firstLine="0" w:firstLineChars="0"/>
        <w:rPr>
          <w:lang w:val="en-US"/>
        </w:rPr>
      </w:pPr>
      <w:bookmarkStart w:id="44" w:name="日均干球温度变化表"/>
      <w:bookmarkEnd w:id="44"/>
    </w:p>
    <w:p>
      <w:pPr>
        <w:pStyle w:val="4"/>
      </w:pPr>
      <w:bookmarkStart w:id="45" w:name="_Toc7929"/>
      <w:r>
        <w:rPr>
          <w:rFonts w:hint="eastAsia"/>
        </w:rPr>
        <w:t>逐月辐照量表</w:t>
      </w:r>
      <w:bookmarkEnd w:id="45"/>
    </w:p>
    <w:p>
      <w:pPr>
        <w:pStyle w:val="3"/>
        <w:ind w:firstLine="0" w:firstLineChars="0"/>
        <w:rPr>
          <w:lang w:val="en-US"/>
        </w:rPr>
      </w:pPr>
      <w:bookmarkStart w:id="46" w:name="逐月辐照量图表"/>
      <w:bookmarkEnd w:id="46"/>
    </w:p>
    <w:p>
      <w:pPr>
        <w:pStyle w:val="4"/>
      </w:pPr>
      <w:bookmarkStart w:id="47" w:name="_Toc28165"/>
      <w:r>
        <w:rPr>
          <w:rFonts w:hint="eastAsia"/>
        </w:rPr>
        <w:t>峰值工况</w:t>
      </w:r>
      <w:bookmarkEnd w:id="4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06月21日12时</w:t>
            </w:r>
          </w:p>
        </w:tc>
        <w:tc>
          <w:tcPr>
            <w:vAlign w:val="center"/>
          </w:tcPr>
          <w:p>
            <w:r>
              <w:t>33.9</w:t>
            </w:r>
          </w:p>
        </w:tc>
        <w:tc>
          <w:tcPr>
            <w:vAlign w:val="center"/>
          </w:tcPr>
          <w:p>
            <w:r>
              <w:t>27.8</w:t>
            </w:r>
          </w:p>
        </w:tc>
        <w:tc>
          <w:tcPr>
            <w:vAlign w:val="center"/>
          </w:tcPr>
          <w:p>
            <w:r>
              <w:t>21.0</w:t>
            </w:r>
          </w:p>
        </w:tc>
        <w:tc>
          <w:tcPr>
            <w:vAlign w:val="center"/>
          </w:tcPr>
          <w:p>
            <w:r>
              <w:t>87.9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02月01日01时</w:t>
            </w:r>
          </w:p>
        </w:tc>
        <w:tc>
          <w:tcPr>
            <w:vAlign w:val="center"/>
          </w:tcPr>
          <w:p>
            <w:r>
              <w:t>12.8</w:t>
            </w:r>
          </w:p>
        </w:tc>
        <w:tc>
          <w:tcPr>
            <w:vAlign w:val="center"/>
          </w:tcPr>
          <w:p>
            <w:r>
              <w:t>11.1</w:t>
            </w:r>
          </w:p>
        </w:tc>
        <w:tc>
          <w:tcPr>
            <w:vAlign w:val="center"/>
          </w:tcPr>
          <w:p>
            <w:r>
              <w:t>7.6</w:t>
            </w:r>
          </w:p>
        </w:tc>
        <w:tc>
          <w:tcPr>
            <w:vAlign w:val="center"/>
          </w:tcPr>
          <w:p>
            <w:r>
              <w:t>32.0</w:t>
            </w:r>
          </w:p>
        </w:tc>
      </w:tr>
    </w:tbl>
    <w:p>
      <w:pPr>
        <w:pStyle w:val="2"/>
        <w:widowControl w:val="0"/>
        <w:jc w:val="both"/>
      </w:pPr>
      <w:bookmarkStart w:id="48" w:name="气象峰值工况"/>
      <w:bookmarkEnd w:id="48"/>
      <w:bookmarkStart w:id="49" w:name="_Toc17246"/>
      <w:r>
        <w:t>围护结构</w:t>
      </w:r>
      <w:bookmarkEnd w:id="49"/>
    </w:p>
    <w:p>
      <w:pPr>
        <w:pStyle w:val="4"/>
        <w:widowControl w:val="0"/>
        <w:jc w:val="both"/>
      </w:pPr>
      <w:bookmarkStart w:id="50" w:name="_Toc26957"/>
      <w:r>
        <w:t>工程材料</w:t>
      </w:r>
      <w:bookmarkEnd w:id="50"/>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加气混凝土、泡沫混凝土(ρ=700)</w:t>
            </w:r>
          </w:p>
        </w:tc>
        <w:tc>
          <w:tcPr>
            <w:vAlign w:val="center"/>
          </w:tcPr>
          <w:p>
            <w:r>
              <w:t>0.180</w:t>
            </w:r>
          </w:p>
        </w:tc>
        <w:tc>
          <w:tcPr>
            <w:vAlign w:val="center"/>
          </w:tcPr>
          <w:p>
            <w:r>
              <w:t>3.100</w:t>
            </w:r>
          </w:p>
        </w:tc>
        <w:tc>
          <w:tcPr>
            <w:vAlign w:val="center"/>
          </w:tcPr>
          <w:p>
            <w:r>
              <w:t>700.0</w:t>
            </w:r>
          </w:p>
        </w:tc>
        <w:tc>
          <w:tcPr>
            <w:vAlign w:val="center"/>
          </w:tcPr>
          <w:p>
            <w:r>
              <w:t>1050.0</w:t>
            </w:r>
          </w:p>
        </w:tc>
        <w:tc>
          <w:tcPr>
            <w:vAlign w:val="center"/>
          </w:tcPr>
          <w:p>
            <w:r>
              <w:t>0.0998</w:t>
            </w:r>
          </w:p>
        </w:tc>
        <w:tc>
          <w:tcPr>
            <w:vAlign w:val="center"/>
          </w:tcPr>
          <w:p>
            <w:r>
              <w:rPr>
                <w:sz w:val="18"/>
                <w:szCs w:val="18"/>
              </w:rPr>
              <w:t>来源：《民用建筑热工设计规范》GB50176-2016</w:t>
            </w:r>
          </w:p>
        </w:tc>
      </w:tr>
    </w:tbl>
    <w:p>
      <w:pPr>
        <w:pStyle w:val="4"/>
        <w:widowControl w:val="0"/>
        <w:jc w:val="both"/>
      </w:pPr>
      <w:bookmarkStart w:id="51" w:name="_Toc32065"/>
      <w:r>
        <w:t>围护结构作法简要说明</w:t>
      </w:r>
      <w:bookmarkEnd w:id="51"/>
    </w:p>
    <w:p>
      <w:pPr>
        <w:widowControl w:val="0"/>
        <w:jc w:val="both"/>
      </w:pPr>
      <w:r>
        <w:rPr>
          <w:b/>
          <w:color w:val="000000"/>
          <w:sz w:val="24"/>
          <w:szCs w:val="24"/>
        </w:rPr>
        <w:t>1. 屋顶构造：</w:t>
      </w:r>
      <w:r>
        <w:rPr>
          <w:color w:val="0000FF"/>
          <w:sz w:val="21"/>
          <w:szCs w:val="21"/>
        </w:rPr>
        <w:t>屋顶构造一：</w:t>
      </w:r>
      <w:r>
        <w:rPr>
          <w:color w:val="000000"/>
        </w:rPr>
        <w:t>（由上到下）</w:t>
      </w:r>
    </w:p>
    <w:p>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pPr>
        <w:widowControl w:val="0"/>
        <w:jc w:val="both"/>
        <w:rPr>
          <w:color w:val="000000"/>
        </w:rPr>
      </w:pPr>
    </w:p>
    <w:p>
      <w:pPr>
        <w:widowControl w:val="0"/>
        <w:jc w:val="both"/>
        <w:rPr>
          <w:color w:val="000000"/>
        </w:rPr>
      </w:pPr>
      <w:r>
        <w:rPr>
          <w:b/>
          <w:color w:val="000000"/>
          <w:sz w:val="24"/>
          <w:szCs w:val="24"/>
        </w:rPr>
        <w:t>2. 外墙构造：</w:t>
      </w:r>
      <w:r>
        <w:rPr>
          <w:color w:val="0000FF"/>
          <w:sz w:val="21"/>
          <w:szCs w:val="21"/>
        </w:rPr>
        <w:t>外墙构造一：</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pPr>
        <w:widowControl w:val="0"/>
        <w:jc w:val="both"/>
        <w:rPr>
          <w:color w:val="000000"/>
        </w:rPr>
      </w:pPr>
    </w:p>
    <w:p>
      <w:pPr>
        <w:widowControl w:val="0"/>
        <w:jc w:val="both"/>
        <w:rPr>
          <w:color w:val="000000"/>
        </w:rPr>
      </w:pPr>
      <w:r>
        <w:rPr>
          <w:b/>
          <w:color w:val="000000"/>
          <w:sz w:val="24"/>
          <w:szCs w:val="24"/>
        </w:rPr>
        <w:t>3. 挑空楼板构造：</w:t>
      </w:r>
      <w:r>
        <w:rPr>
          <w:color w:val="0000FF"/>
          <w:sz w:val="21"/>
          <w:szCs w:val="21"/>
        </w:rPr>
        <w:t>挑空楼板构造一：</w:t>
      </w:r>
      <w:r>
        <w:rPr>
          <w:color w:val="000000"/>
        </w:rPr>
        <w:t>（由上到下）</w:t>
      </w:r>
    </w:p>
    <w:p>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pPr>
        <w:widowControl w:val="0"/>
        <w:jc w:val="both"/>
        <w:rPr>
          <w:color w:val="000000"/>
        </w:rPr>
      </w:pPr>
    </w:p>
    <w:p>
      <w:pPr>
        <w:widowControl w:val="0"/>
        <w:jc w:val="both"/>
        <w:rPr>
          <w:color w:val="000000"/>
        </w:rPr>
      </w:pPr>
      <w:r>
        <w:rPr>
          <w:b/>
          <w:color w:val="000000"/>
          <w:sz w:val="24"/>
          <w:szCs w:val="24"/>
        </w:rPr>
        <w:t>4. 外窗构造：</w:t>
      </w:r>
      <w:r>
        <w:rPr>
          <w:color w:val="0000FF"/>
          <w:sz w:val="21"/>
          <w:szCs w:val="21"/>
        </w:rPr>
        <w:t>12A钢铝单框双玻窗（平均）：</w:t>
      </w:r>
    </w:p>
    <w:p>
      <w:pPr>
        <w:widowControl w:val="0"/>
        <w:jc w:val="both"/>
        <w:rPr>
          <w:color w:val="000000"/>
        </w:rPr>
      </w:pPr>
      <w:r>
        <w:rPr>
          <w:color w:val="000000"/>
        </w:rPr>
        <w:t xml:space="preserve">    传热系数3.900W/m^2.K，太阳得热系数0.652</w:t>
      </w:r>
    </w:p>
    <w:p>
      <w:pPr>
        <w:widowControl w:val="0"/>
        <w:jc w:val="both"/>
        <w:rPr>
          <w:color w:val="000000"/>
        </w:rPr>
      </w:pPr>
    </w:p>
    <w:p>
      <w:pPr>
        <w:pStyle w:val="2"/>
        <w:widowControl w:val="0"/>
        <w:jc w:val="both"/>
        <w:rPr>
          <w:color w:val="000000"/>
        </w:rPr>
      </w:pPr>
      <w:bookmarkStart w:id="52" w:name="_Toc2320"/>
      <w:r>
        <w:rPr>
          <w:color w:val="000000"/>
        </w:rPr>
        <w:t>房间类型</w:t>
      </w:r>
      <w:bookmarkEnd w:id="52"/>
    </w:p>
    <w:p>
      <w:pPr>
        <w:pStyle w:val="4"/>
        <w:widowControl w:val="0"/>
        <w:jc w:val="both"/>
        <w:rPr>
          <w:color w:val="000000"/>
        </w:rPr>
      </w:pPr>
      <w:bookmarkStart w:id="53" w:name="_Toc17359"/>
      <w:r>
        <w:rPr>
          <w:color w:val="000000"/>
        </w:rPr>
        <w:t>房间表</w:t>
      </w:r>
      <w:bookmarkEnd w:id="5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rPr>
          <w:color w:val="000000"/>
        </w:rPr>
      </w:pPr>
      <w:bookmarkStart w:id="54" w:name="_Toc6523"/>
      <w:r>
        <w:rPr>
          <w:color w:val="000000"/>
        </w:rPr>
        <w:t>作息时间表</w:t>
      </w:r>
      <w:bookmarkEnd w:id="54"/>
    </w:p>
    <w:p>
      <w:pPr>
        <w:widowControl w:val="0"/>
        <w:jc w:val="both"/>
        <w:rPr>
          <w:color w:val="000000"/>
        </w:rPr>
      </w:pPr>
      <w:r>
        <w:rPr>
          <w:color w:val="000000"/>
        </w:rPr>
        <w:t>详见附录</w:t>
      </w:r>
    </w:p>
    <w:p>
      <w:pPr>
        <w:pStyle w:val="2"/>
        <w:widowControl w:val="0"/>
        <w:jc w:val="both"/>
        <w:rPr>
          <w:color w:val="000000"/>
        </w:rPr>
      </w:pPr>
      <w:bookmarkStart w:id="55" w:name="_Toc25967"/>
      <w:r>
        <w:rPr>
          <w:color w:val="000000"/>
        </w:rPr>
        <w:t>计算结果</w:t>
      </w:r>
      <w:bookmarkEnd w:id="55"/>
      <w:bookmarkStart w:id="65" w:name="_GoBack"/>
      <w:bookmarkEnd w:id="65"/>
    </w:p>
    <w:p>
      <w:pPr>
        <w:pStyle w:val="4"/>
        <w:widowControl w:val="0"/>
        <w:jc w:val="both"/>
        <w:rPr>
          <w:color w:val="000000"/>
        </w:rPr>
      </w:pPr>
      <w:bookmarkStart w:id="56" w:name="_Toc16026"/>
      <w:r>
        <w:rPr>
          <w:color w:val="000000"/>
        </w:rPr>
        <w:t>围护结构热工性能对比</w:t>
      </w:r>
      <w:bookmarkEnd w:id="56"/>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0.77(D:3.69)</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1.11(D:2.94)</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1.18</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0.53</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0.36</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0.53</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2.50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0.43</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0.38</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0.43</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2.70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0.61</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0.35</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0.61</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2.50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0.55</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3.90</w:t>
            </w:r>
          </w:p>
        </w:tc>
        <w:tc>
          <w:tcPr>
            <w:tcW w:w="58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0.37</w:t>
            </w:r>
          </w:p>
        </w:tc>
        <w:tc>
          <w:tcPr>
            <w:tcW w:w="582"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0.55</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2.50</w:t>
            </w:r>
          </w:p>
        </w:tc>
        <w:tc>
          <w:tcPr>
            <w:tcW w:w="50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0.26</w:t>
            </w:r>
          </w:p>
        </w:tc>
      </w:tr>
    </w:tbl>
    <w:p>
      <w:pPr>
        <w:widowControl w:val="0"/>
        <w:jc w:val="both"/>
        <w:rPr>
          <w:color w:val="000000"/>
        </w:rPr>
      </w:pPr>
      <w:r>
        <w:rPr>
          <w:color w:val="000000"/>
        </w:rPr>
        <w:t>备注：1. — 代表本工程无对应项; 2. ——代表参照建筑不要求，取值同设计建筑。</w:t>
      </w:r>
    </w:p>
    <w:p>
      <w:pPr>
        <w:pStyle w:val="4"/>
        <w:widowControl w:val="0"/>
        <w:jc w:val="both"/>
        <w:rPr>
          <w:color w:val="000000"/>
        </w:rPr>
      </w:pPr>
      <w:bookmarkStart w:id="57" w:name="_Toc20531"/>
      <w:r>
        <w:rPr>
          <w:color w:val="000000"/>
        </w:rPr>
        <w:t>负荷分项统计</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-1.06</w:t>
            </w:r>
          </w:p>
        </w:tc>
        <w:tc>
          <w:tcPr>
            <w:vAlign w:val="center"/>
          </w:tcPr>
          <w:p>
            <w:r>
              <w:t>0.73</w:t>
            </w:r>
          </w:p>
        </w:tc>
        <w:tc>
          <w:tcPr>
            <w:vAlign w:val="center"/>
          </w:tcPr>
          <w:p>
            <w:r>
              <w:t>0.17</w:t>
            </w:r>
          </w:p>
        </w:tc>
        <w:tc>
          <w:tcPr>
            <w:vAlign w:val="center"/>
          </w:tcPr>
          <w:p>
            <w:r>
              <w:t>-0.25</w:t>
            </w:r>
          </w:p>
        </w:tc>
        <w:tc>
          <w:tcPr>
            <w:vAlign w:val="center"/>
          </w:tcPr>
          <w:p>
            <w:r>
              <w:t>0.00</w:t>
            </w:r>
          </w:p>
        </w:tc>
        <w:tc>
          <w:tcPr>
            <w:vAlign w:val="center"/>
          </w:tcPr>
          <w:p>
            <w:r>
              <w:t>-0.41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42.22</w:t>
            </w:r>
          </w:p>
        </w:tc>
        <w:tc>
          <w:tcPr>
            <w:vAlign w:val="center"/>
          </w:tcPr>
          <w:p>
            <w:r>
              <w:t>57.43</w:t>
            </w:r>
          </w:p>
        </w:tc>
        <w:tc>
          <w:tcPr>
            <w:vAlign w:val="center"/>
          </w:tcPr>
          <w:p>
            <w:r>
              <w:t>29.90</w:t>
            </w:r>
          </w:p>
        </w:tc>
        <w:tc>
          <w:tcPr>
            <w:vAlign w:val="center"/>
          </w:tcPr>
          <w:p>
            <w:r>
              <w:t>66.29</w:t>
            </w:r>
          </w:p>
        </w:tc>
        <w:tc>
          <w:tcPr>
            <w:vAlign w:val="center"/>
          </w:tcPr>
          <w:p>
            <w:r>
              <w:t>0.00</w:t>
            </w:r>
          </w:p>
        </w:tc>
        <w:tc>
          <w:tcPr>
            <w:vAlign w:val="center"/>
          </w:tcPr>
          <w:p>
            <w:r>
              <w:t>195.84</w:t>
            </w:r>
          </w:p>
        </w:tc>
      </w:tr>
    </w:tbl>
    <w:p>
      <w:pPr>
        <w:pStyle w:val="4"/>
      </w:pPr>
      <w:bookmarkStart w:id="58" w:name="_Toc1929"/>
      <w:r>
        <w:t>围护结构节能率</w:t>
      </w:r>
      <w:bookmarkEnd w:id="58"/>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bookmarkEnd w:id="2"/>
          </w:p>
        </w:tc>
        <w:tc>
          <w:tcPr>
            <w:tcW w:w="961" w:type="pct"/>
            <w:shd w:val="clear" w:color="auto" w:fill="E0E0E0"/>
            <w:vAlign w:val="center"/>
          </w:tcPr>
          <w:p>
            <w:pPr>
              <w:ind w:firstLine="0" w:firstLineChars="0"/>
              <w:jc w:val="center"/>
              <w:rPr>
                <w:lang w:val="en-US"/>
              </w:rPr>
            </w:pPr>
            <w:r>
              <w:rPr>
                <w:rFonts w:hint="eastAsia"/>
                <w:lang w:val="en-US"/>
              </w:rPr>
              <w:t>节能率</w:t>
            </w:r>
            <w:bookmarkEnd w:id="3"/>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r>
              <w:rPr>
                <w:rFonts w:hint="eastAsia"/>
                <w:lang w:val="en-US"/>
              </w:rPr>
              <w:t>195.84</w:t>
            </w:r>
            <w:bookmarkEnd w:id="4"/>
          </w:p>
        </w:tc>
        <w:tc>
          <w:tcPr>
            <w:tcW w:w="877" w:type="pct"/>
            <w:vAlign w:val="center"/>
          </w:tcPr>
          <w:p>
            <w:pPr>
              <w:ind w:firstLine="0" w:firstLineChars="0"/>
              <w:jc w:val="center"/>
              <w:rPr>
                <w:lang w:val="en-US"/>
              </w:rPr>
            </w:pPr>
            <w:r>
              <w:rPr>
                <w:rFonts w:hint="eastAsia"/>
                <w:lang w:val="en-US"/>
              </w:rPr>
              <w:t>184.70</w:t>
            </w:r>
            <w:bookmarkEnd w:id="5"/>
          </w:p>
        </w:tc>
        <w:tc>
          <w:tcPr>
            <w:tcW w:w="961" w:type="pct"/>
            <w:vAlign w:val="center"/>
          </w:tcPr>
          <w:p>
            <w:pPr>
              <w:ind w:firstLine="0" w:firstLineChars="0"/>
              <w:jc w:val="center"/>
              <w:rPr>
                <w:lang w:val="en-US"/>
              </w:rPr>
            </w:pPr>
            <w:r>
              <w:rPr>
                <w:rFonts w:hint="eastAsia"/>
                <w:lang w:val="en-US"/>
              </w:rPr>
              <w:t>-6.03%</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0.41</w:t>
            </w:r>
            <w:bookmarkEnd w:id="7"/>
          </w:p>
        </w:tc>
        <w:tc>
          <w:tcPr>
            <w:tcW w:w="877" w:type="pct"/>
            <w:vAlign w:val="center"/>
          </w:tcPr>
          <w:p>
            <w:pPr>
              <w:ind w:firstLine="0" w:firstLineChars="0"/>
              <w:jc w:val="center"/>
              <w:rPr>
                <w:lang w:val="en-US"/>
              </w:rPr>
            </w:pPr>
            <w:r>
              <w:rPr>
                <w:rFonts w:hint="eastAsia"/>
                <w:lang w:val="en-US"/>
              </w:rPr>
              <w:t>0.38</w:t>
            </w:r>
            <w:bookmarkEnd w:id="8"/>
          </w:p>
        </w:tc>
        <w:tc>
          <w:tcPr>
            <w:tcW w:w="961" w:type="pct"/>
            <w:vAlign w:val="center"/>
          </w:tcPr>
          <w:p>
            <w:pPr>
              <w:ind w:firstLine="0" w:firstLineChars="0"/>
              <w:jc w:val="center"/>
              <w:rPr>
                <w:lang w:val="en-US"/>
              </w:rPr>
            </w:pPr>
            <w:r>
              <w:rPr>
                <w:rFonts w:hint="eastAsia"/>
                <w:lang w:val="en-US"/>
              </w:rPr>
              <w:t>-7.89%</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196.25</w:t>
            </w:r>
            <w:bookmarkEnd w:id="10"/>
          </w:p>
        </w:tc>
        <w:tc>
          <w:tcPr>
            <w:tcW w:w="877" w:type="pct"/>
            <w:vAlign w:val="center"/>
          </w:tcPr>
          <w:p>
            <w:pPr>
              <w:ind w:firstLine="0" w:firstLineChars="0"/>
              <w:jc w:val="center"/>
              <w:rPr>
                <w:lang w:val="en-US"/>
              </w:rPr>
            </w:pPr>
            <w:r>
              <w:rPr>
                <w:rFonts w:hint="eastAsia"/>
                <w:lang w:val="en-US"/>
              </w:rPr>
              <w:t>185.09</w:t>
            </w:r>
            <w:bookmarkEnd w:id="11"/>
          </w:p>
        </w:tc>
        <w:tc>
          <w:tcPr>
            <w:tcW w:w="961" w:type="pct"/>
            <w:vAlign w:val="center"/>
          </w:tcPr>
          <w:p>
            <w:pPr>
              <w:ind w:firstLine="0" w:firstLineChars="0"/>
              <w:jc w:val="center"/>
              <w:rPr>
                <w:lang w:val="en-US"/>
              </w:rPr>
            </w:pPr>
            <w:r>
              <w:rPr>
                <w:rFonts w:hint="eastAsia"/>
                <w:lang w:val="en-US"/>
              </w:rPr>
              <w:t>-6.03%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r>
              <w:rPr>
                <w:rFonts w:hint="eastAsia"/>
                <w:lang w:val="en-US"/>
              </w:rPr>
              <w:t>2.5</w:t>
            </w:r>
            <w:bookmarkEnd w:id="13"/>
          </w:p>
        </w:tc>
        <w:tc>
          <w:tcPr>
            <w:tcW w:w="877" w:type="pct"/>
            <w:vAlign w:val="center"/>
          </w:tcPr>
          <w:p>
            <w:pPr>
              <w:ind w:firstLine="0" w:firstLineChars="0"/>
              <w:jc w:val="center"/>
              <w:rPr>
                <w:lang w:val="en-US"/>
              </w:rPr>
            </w:pPr>
            <w:r>
              <w:rPr>
                <w:rFonts w:hint="eastAsia"/>
                <w:lang w:val="en-US"/>
              </w:rPr>
              <w:t>2.5</w:t>
            </w:r>
            <w:bookmarkEnd w:id="14"/>
          </w:p>
        </w:tc>
        <w:tc>
          <w:tcPr>
            <w:tcW w:w="961" w:type="pct"/>
            <w:vMerge w:val="restart"/>
            <w:vAlign w:val="center"/>
          </w:tcPr>
          <w:p>
            <w:pPr>
              <w:ind w:firstLine="0" w:firstLineChars="0"/>
              <w:jc w:val="center"/>
              <w:rPr>
                <w:lang w:val="en-US"/>
              </w:rPr>
            </w:pPr>
            <w:r>
              <w:rPr>
                <w:rFonts w:hint="eastAsia"/>
                <w:lang w:val="en-US"/>
              </w:rPr>
              <w:t>-6.03%</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r>
              <w:rPr>
                <w:rFonts w:hint="eastAsia"/>
                <w:lang w:val="en-US"/>
              </w:rPr>
              <w:t>78.34</w:t>
            </w:r>
            <w:bookmarkEnd w:id="16"/>
          </w:p>
        </w:tc>
        <w:tc>
          <w:tcPr>
            <w:tcW w:w="877" w:type="pct"/>
            <w:vAlign w:val="center"/>
          </w:tcPr>
          <w:p>
            <w:pPr>
              <w:ind w:firstLine="0" w:firstLineChars="0"/>
              <w:jc w:val="center"/>
              <w:rPr>
                <w:lang w:val="en-US"/>
              </w:rPr>
            </w:pPr>
            <w:r>
              <w:rPr>
                <w:rFonts w:hint="eastAsia"/>
                <w:lang w:val="en-US"/>
              </w:rPr>
              <w:t>73.88</w:t>
            </w:r>
            <w:bookmarkEnd w:id="17"/>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r>
              <w:rPr>
                <w:rFonts w:hint="eastAsia"/>
                <w:lang w:val="en-US"/>
              </w:rPr>
              <w:t>2.2</w:t>
            </w:r>
            <w:bookmarkEnd w:id="18"/>
          </w:p>
        </w:tc>
        <w:tc>
          <w:tcPr>
            <w:tcW w:w="877" w:type="pct"/>
            <w:vAlign w:val="center"/>
          </w:tcPr>
          <w:p>
            <w:pPr>
              <w:ind w:firstLine="0" w:firstLineChars="0"/>
              <w:jc w:val="center"/>
              <w:rPr>
                <w:lang w:val="en-US"/>
              </w:rPr>
            </w:pPr>
            <w:r>
              <w:rPr>
                <w:rFonts w:hint="eastAsia"/>
                <w:lang w:val="en-US"/>
              </w:rPr>
              <w:t>2.2</w:t>
            </w:r>
            <w:bookmarkEnd w:id="19"/>
          </w:p>
        </w:tc>
        <w:tc>
          <w:tcPr>
            <w:tcW w:w="961" w:type="pct"/>
            <w:vMerge w:val="restart"/>
            <w:vAlign w:val="center"/>
          </w:tcPr>
          <w:p>
            <w:pPr>
              <w:ind w:firstLine="0" w:firstLineChars="0"/>
              <w:jc w:val="center"/>
              <w:rPr>
                <w:lang w:val="en-US"/>
              </w:rPr>
            </w:pPr>
            <w:r>
              <w:rPr>
                <w:rFonts w:hint="eastAsia"/>
                <w:lang w:val="en-US"/>
              </w:rPr>
              <w:t>-7.89%</w:t>
            </w:r>
            <w:bookmarkEnd w:id="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r>
              <w:rPr>
                <w:rFonts w:hint="eastAsia"/>
                <w:lang w:val="en-US"/>
              </w:rPr>
              <w:t>0.19</w:t>
            </w:r>
            <w:bookmarkEnd w:id="21"/>
          </w:p>
        </w:tc>
        <w:tc>
          <w:tcPr>
            <w:tcW w:w="877" w:type="pct"/>
            <w:vAlign w:val="center"/>
          </w:tcPr>
          <w:p>
            <w:pPr>
              <w:ind w:firstLine="0" w:firstLineChars="0"/>
              <w:jc w:val="center"/>
              <w:rPr>
                <w:lang w:val="en-US"/>
              </w:rPr>
            </w:pPr>
            <w:r>
              <w:rPr>
                <w:rFonts w:hint="eastAsia"/>
                <w:lang w:val="en-US"/>
              </w:rPr>
              <w:t>0.17</w:t>
            </w:r>
            <w:bookmarkEnd w:id="22"/>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r>
              <w:rPr>
                <w:rFonts w:hint="eastAsia"/>
                <w:lang w:val="en-US"/>
              </w:rPr>
              <w:t>78.52</w:t>
            </w:r>
            <w:bookmarkEnd w:id="23"/>
          </w:p>
        </w:tc>
        <w:tc>
          <w:tcPr>
            <w:tcW w:w="877" w:type="pct"/>
            <w:vAlign w:val="center"/>
          </w:tcPr>
          <w:p>
            <w:pPr>
              <w:ind w:firstLine="0" w:firstLineChars="0"/>
              <w:jc w:val="center"/>
              <w:rPr>
                <w:lang w:val="en-US"/>
              </w:rPr>
            </w:pPr>
            <w:r>
              <w:rPr>
                <w:rFonts w:hint="eastAsia"/>
                <w:lang w:val="en-US"/>
              </w:rPr>
              <w:t>74.06</w:t>
            </w:r>
            <w:bookmarkEnd w:id="24"/>
          </w:p>
        </w:tc>
        <w:tc>
          <w:tcPr>
            <w:tcW w:w="961" w:type="pct"/>
            <w:vAlign w:val="center"/>
          </w:tcPr>
          <w:p>
            <w:pPr>
              <w:ind w:firstLine="0" w:firstLineChars="0"/>
              <w:jc w:val="center"/>
              <w:rPr>
                <w:lang w:val="en-US"/>
              </w:rPr>
            </w:pPr>
            <w:r>
              <w:rPr>
                <w:rFonts w:hint="eastAsia"/>
                <w:lang w:val="en-US"/>
              </w:rPr>
              <w:t>-6.03%</w:t>
            </w:r>
            <w:bookmarkEnd w:id="25"/>
          </w:p>
        </w:tc>
      </w:tr>
    </w:tbl>
    <w:p>
      <w:pPr>
        <w:ind w:firstLine="0" w:firstLineChars="0"/>
        <w:jc w:val="center"/>
        <w:rPr>
          <w:sz w:val="20"/>
          <w:lang w:val="en-US"/>
        </w:rPr>
      </w:pPr>
    </w:p>
    <w:p>
      <w:pPr>
        <w:widowControl w:val="0"/>
        <w:jc w:val="both"/>
        <w:rPr>
          <w:color w:val="000000"/>
        </w:rPr>
      </w:pPr>
    </w:p>
    <w:p>
      <w:pPr>
        <w:pStyle w:val="2"/>
        <w:widowControl w:val="0"/>
        <w:jc w:val="both"/>
        <w:rPr>
          <w:color w:val="000000"/>
        </w:rPr>
      </w:pPr>
      <w:bookmarkStart w:id="59" w:name="_Toc4819"/>
      <w:r>
        <w:rPr>
          <w:color w:val="000000"/>
        </w:rPr>
        <w:t>绿色建筑性能评估得分</w:t>
      </w:r>
      <w:bookmarkEnd w:id="59"/>
    </w:p>
    <w:p>
      <w:pPr>
        <w:pStyle w:val="4"/>
        <w:widowControl w:val="0"/>
        <w:jc w:val="both"/>
        <w:rPr>
          <w:color w:val="000000"/>
        </w:rPr>
      </w:pPr>
      <w:bookmarkStart w:id="60" w:name="_Toc15363"/>
      <w:r>
        <w:rPr>
          <w:color w:val="000000"/>
        </w:rPr>
        <w:t>优化建筑围护结构的热工性能</w:t>
      </w:r>
      <w:bookmarkEnd w:id="60"/>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建筑供暖空调负荷降低5%</w:t>
            </w:r>
          </w:p>
        </w:tc>
        <w:tc>
          <w:tcPr>
            <w:vAlign w:val="center"/>
          </w:tcPr>
          <w:p>
            <w:r>
              <w:t>5</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建筑供暖空调负荷降低10%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建筑供暖空调负荷降低15%</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50378-2019第7.2.4条</w:t>
            </w:r>
          </w:p>
        </w:tc>
      </w:tr>
    </w:tbl>
    <w:p>
      <w:pPr>
        <w:widowControl w:val="0"/>
        <w:jc w:val="center"/>
        <w:rPr>
          <w:color w:val="000000"/>
        </w:rP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61" w:name="_Toc631"/>
      <w:r>
        <w:t>附录</w:t>
      </w:r>
      <w:bookmarkEnd w:id="61"/>
    </w:p>
    <w:p>
      <w:pPr>
        <w:pStyle w:val="4"/>
        <w:jc w:val="both"/>
      </w:pPr>
      <w:bookmarkStart w:id="62" w:name="_Toc16258"/>
      <w:r>
        <w:t>工作日/节假日人员逐时在室率(%)</w:t>
      </w:r>
      <w:bookmarkEnd w:id="62"/>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bookmarkStart w:id="63" w:name="_Toc5083"/>
      <w:r>
        <w:t>工作日/节假日照明开关时间表(%)</w:t>
      </w:r>
      <w:bookmarkEnd w:id="63"/>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64" w:name="_Toc32338"/>
      <w:r>
        <w:t>工作日/节假日设备逐时使用率(%)</w:t>
      </w:r>
      <w:bookmarkEnd w:id="64"/>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670C7"/>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13267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575;&#26093;&#26312;\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Pages>9</Pages>
  <Words>3167</Words>
  <Characters>4353</Characters>
  <Lines>45</Lines>
  <Paragraphs>12</Paragraphs>
  <TotalTime>0</TotalTime>
  <ScaleCrop>false</ScaleCrop>
  <LinksUpToDate>false</LinksUpToDate>
  <CharactersWithSpaces>4567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2022-01-03T01:34:00Z</dcterms:created>
  <dc:creator>Mrsk</dc:creator>
  <cp:lastModifiedBy>Mrsk</cp:lastModifiedBy>
  <dcterms:modified xsi:type="dcterms:W3CDTF">2022-01-03T01:35:14Z</dcterms:modified>
  <dc:title>围护结构节能率计算书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