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F3BB" w14:textId="77777777" w:rsidR="00555EE6" w:rsidRDefault="00555EE6" w:rsidP="00555EE6">
      <w:pPr>
        <w:pStyle w:val="3"/>
      </w:pPr>
      <w:r>
        <w:rPr>
          <w:rFonts w:hint="eastAsia"/>
        </w:rPr>
        <w:t>5.2.9走廊、楼梯间、门厅、大堂、大空间、地下停车场等场所的照明系统采取分区、定时、感应等节能控制措施。</w:t>
      </w:r>
      <w:r w:rsidRPr="00B16334">
        <w:rPr>
          <w:rFonts w:hint="eastAsia"/>
        </w:rPr>
        <w:t>（总分</w:t>
      </w:r>
      <w:r>
        <w:rPr>
          <w:rFonts w:hint="eastAsia"/>
        </w:rPr>
        <w:t>5</w:t>
      </w:r>
      <w:r w:rsidRPr="00B16334">
        <w:rPr>
          <w:rFonts w:hint="eastAsia"/>
        </w:rPr>
        <w:t>分）</w:t>
      </w:r>
    </w:p>
    <w:p w14:paraId="641F372E" w14:textId="77777777" w:rsidR="00555EE6" w:rsidRDefault="00555EE6" w:rsidP="00555EE6">
      <w:pPr>
        <w:adjustRightInd w:val="0"/>
        <w:snapToGrid w:val="0"/>
        <w:spacing w:line="460" w:lineRule="exact"/>
        <w:ind w:leftChars="-203" w:left="-426"/>
        <w:rPr>
          <w:b/>
          <w:sz w:val="24"/>
        </w:rPr>
      </w:pPr>
    </w:p>
    <w:p w14:paraId="1C94CF48" w14:textId="77777777" w:rsidR="00555EE6" w:rsidRDefault="00555EE6" w:rsidP="00555EE6">
      <w:pPr>
        <w:numPr>
          <w:ilvl w:val="0"/>
          <w:numId w:val="1"/>
        </w:numPr>
        <w:tabs>
          <w:tab w:val="clear" w:pos="420"/>
          <w:tab w:val="left" w:pos="-567"/>
        </w:tabs>
        <w:spacing w:line="288" w:lineRule="auto"/>
        <w:ind w:left="142" w:hanging="142"/>
        <w:rPr>
          <w:szCs w:val="21"/>
        </w:rPr>
      </w:pPr>
      <w:r>
        <w:rPr>
          <w:rFonts w:hint="eastAsia"/>
          <w:b/>
          <w:szCs w:val="21"/>
          <w:lang w:val="zh-CN"/>
        </w:rPr>
        <w:t>得分自评：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2"/>
        <w:gridCol w:w="1860"/>
        <w:gridCol w:w="2110"/>
      </w:tblGrid>
      <w:tr w:rsidR="00555EE6" w14:paraId="7EBB7ED1" w14:textId="77777777" w:rsidTr="009D46BE">
        <w:trPr>
          <w:trHeight w:val="357"/>
        </w:trPr>
        <w:tc>
          <w:tcPr>
            <w:tcW w:w="5692" w:type="dxa"/>
            <w:vAlign w:val="center"/>
          </w:tcPr>
          <w:p w14:paraId="13E0C265" w14:textId="77777777" w:rsidR="00555EE6" w:rsidRDefault="00555EE6" w:rsidP="009D46BE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评价内容</w:t>
            </w:r>
          </w:p>
        </w:tc>
        <w:tc>
          <w:tcPr>
            <w:tcW w:w="1860" w:type="dxa"/>
            <w:vAlign w:val="center"/>
          </w:tcPr>
          <w:p w14:paraId="308E49E0" w14:textId="77777777" w:rsidR="00555EE6" w:rsidRDefault="00555EE6" w:rsidP="009D46BE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评价分值（分）</w:t>
            </w:r>
          </w:p>
        </w:tc>
        <w:tc>
          <w:tcPr>
            <w:tcW w:w="2110" w:type="dxa"/>
            <w:vAlign w:val="center"/>
          </w:tcPr>
          <w:p w14:paraId="5DB4DE28" w14:textId="77777777" w:rsidR="00555EE6" w:rsidRDefault="00555EE6" w:rsidP="009D46BE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b/>
                <w:bCs/>
                <w:lang w:val="zh-CN"/>
              </w:rPr>
              <w:t>自评</w:t>
            </w:r>
            <w:r>
              <w:rPr>
                <w:rFonts w:hint="eastAsia"/>
                <w:b/>
                <w:bCs/>
                <w:lang w:val="zh-CN"/>
              </w:rPr>
              <w:t>得分</w:t>
            </w:r>
            <w:r>
              <w:rPr>
                <w:b/>
                <w:bCs/>
                <w:lang w:val="zh-CN"/>
              </w:rPr>
              <w:t>（分）</w:t>
            </w:r>
          </w:p>
        </w:tc>
      </w:tr>
      <w:tr w:rsidR="00555EE6" w14:paraId="12669F6B" w14:textId="77777777" w:rsidTr="009D46BE">
        <w:trPr>
          <w:trHeight w:val="743"/>
        </w:trPr>
        <w:tc>
          <w:tcPr>
            <w:tcW w:w="5692" w:type="dxa"/>
            <w:vAlign w:val="center"/>
          </w:tcPr>
          <w:p w14:paraId="79FD1368" w14:textId="77777777" w:rsidR="00555EE6" w:rsidRDefault="00555EE6" w:rsidP="009D46BE">
            <w:pPr>
              <w:spacing w:line="288" w:lineRule="auto"/>
              <w:jc w:val="center"/>
              <w:rPr>
                <w:b/>
                <w:bCs/>
                <w:lang w:val="zh-CN"/>
              </w:rPr>
            </w:pPr>
            <w:r>
              <w:rPr>
                <w:rFonts w:cs="宋体" w:hint="eastAsia"/>
                <w:bCs/>
              </w:rPr>
              <w:t>走廊、楼梯间、门厅、大堂、大空间、地下停车场等场所的照明系统采取分区、定时、感应等节能控制措施</w:t>
            </w:r>
          </w:p>
        </w:tc>
        <w:tc>
          <w:tcPr>
            <w:tcW w:w="1860" w:type="dxa"/>
            <w:vAlign w:val="center"/>
          </w:tcPr>
          <w:p w14:paraId="7CDE63CE" w14:textId="77777777" w:rsidR="00555EE6" w:rsidRDefault="00555EE6" w:rsidP="009D46BE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5</w:t>
            </w:r>
          </w:p>
        </w:tc>
        <w:tc>
          <w:tcPr>
            <w:tcW w:w="2110" w:type="dxa"/>
            <w:vAlign w:val="center"/>
          </w:tcPr>
          <w:p w14:paraId="7AA7CCBE" w14:textId="2811A201" w:rsidR="00555EE6" w:rsidRPr="00F455B7" w:rsidRDefault="003E622F" w:rsidP="009D46BE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5</w:t>
            </w:r>
          </w:p>
        </w:tc>
      </w:tr>
      <w:tr w:rsidR="00555EE6" w14:paraId="291D3370" w14:textId="77777777" w:rsidTr="009D46BE">
        <w:trPr>
          <w:trHeight w:val="743"/>
        </w:trPr>
        <w:tc>
          <w:tcPr>
            <w:tcW w:w="5692" w:type="dxa"/>
            <w:vAlign w:val="center"/>
          </w:tcPr>
          <w:p w14:paraId="05FE923C" w14:textId="77777777" w:rsidR="00555EE6" w:rsidRDefault="00555EE6" w:rsidP="009D46BE">
            <w:pPr>
              <w:spacing w:line="288" w:lineRule="auto"/>
              <w:jc w:val="center"/>
              <w:rPr>
                <w:rFonts w:cs="宋体"/>
                <w:bCs/>
              </w:rPr>
            </w:pPr>
            <w:r>
              <w:rPr>
                <w:rFonts w:cs="宋体" w:hint="eastAsia"/>
                <w:bCs/>
              </w:rPr>
              <w:t>合计</w:t>
            </w:r>
          </w:p>
        </w:tc>
        <w:tc>
          <w:tcPr>
            <w:tcW w:w="1860" w:type="dxa"/>
            <w:vAlign w:val="center"/>
          </w:tcPr>
          <w:p w14:paraId="123CAA6B" w14:textId="77777777" w:rsidR="00555EE6" w:rsidRDefault="00555EE6" w:rsidP="009D46BE">
            <w:pPr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110" w:type="dxa"/>
            <w:vAlign w:val="center"/>
          </w:tcPr>
          <w:p w14:paraId="3C627B33" w14:textId="4780CE37" w:rsidR="00555EE6" w:rsidRPr="00F455B7" w:rsidRDefault="003E622F" w:rsidP="009D46BE">
            <w:pPr>
              <w:spacing w:line="288" w:lineRule="auto"/>
              <w:jc w:val="center"/>
              <w:rPr>
                <w:bCs/>
                <w:lang w:val="zh-CN"/>
              </w:rPr>
            </w:pPr>
            <w:r>
              <w:rPr>
                <w:rFonts w:hint="eastAsia"/>
                <w:bCs/>
                <w:lang w:val="zh-CN"/>
              </w:rPr>
              <w:t>5</w:t>
            </w:r>
          </w:p>
        </w:tc>
      </w:tr>
    </w:tbl>
    <w:p w14:paraId="604B1658" w14:textId="77777777" w:rsidR="00555EE6" w:rsidRDefault="00555EE6" w:rsidP="00555EE6">
      <w:pPr>
        <w:spacing w:line="288" w:lineRule="auto"/>
        <w:ind w:left="426"/>
        <w:rPr>
          <w:b/>
          <w:szCs w:val="21"/>
          <w:lang w:val="zh-CN"/>
        </w:rPr>
      </w:pPr>
    </w:p>
    <w:p w14:paraId="3BA512D3" w14:textId="77777777" w:rsidR="00555EE6" w:rsidRDefault="00555EE6" w:rsidP="00555EE6">
      <w:pPr>
        <w:numPr>
          <w:ilvl w:val="0"/>
          <w:numId w:val="1"/>
        </w:numPr>
        <w:tabs>
          <w:tab w:val="clear" w:pos="420"/>
          <w:tab w:val="left" w:pos="-567"/>
        </w:tabs>
        <w:spacing w:line="288" w:lineRule="auto"/>
        <w:ind w:left="371" w:hangingChars="176" w:hanging="371"/>
        <w:rPr>
          <w:b/>
          <w:szCs w:val="21"/>
          <w:lang w:val="zh-CN"/>
        </w:rPr>
      </w:pPr>
      <w:r>
        <w:rPr>
          <w:rFonts w:hint="eastAsia"/>
          <w:b/>
          <w:szCs w:val="21"/>
          <w:lang w:val="zh-CN"/>
        </w:rPr>
        <w:t>评价要点：</w:t>
      </w:r>
    </w:p>
    <w:p w14:paraId="46CFEEDC" w14:textId="77777777" w:rsidR="00555EE6" w:rsidRDefault="00555EE6" w:rsidP="00555EE6">
      <w:pPr>
        <w:spacing w:line="288" w:lineRule="auto"/>
        <w:ind w:left="-53"/>
        <w:rPr>
          <w:b/>
          <w:szCs w:val="21"/>
          <w:lang w:val="zh-CN"/>
        </w:rPr>
      </w:pPr>
      <w:r>
        <w:rPr>
          <w:rFonts w:ascii="宋体" w:cs="宋体" w:hint="eastAsia"/>
          <w:kern w:val="0"/>
          <w:sz w:val="24"/>
        </w:rPr>
        <w:t>简要说明建筑照明控制策略和节能措施</w:t>
      </w:r>
      <w:r>
        <w:rPr>
          <w:rFonts w:hint="eastAsia"/>
          <w:szCs w:val="21"/>
        </w:rPr>
        <w:t>（</w:t>
      </w:r>
      <w:r>
        <w:rPr>
          <w:szCs w:val="21"/>
        </w:rPr>
        <w:t>200</w:t>
      </w:r>
      <w:r>
        <w:rPr>
          <w:rFonts w:hint="eastAsia"/>
          <w:szCs w:val="21"/>
        </w:rPr>
        <w:t>字以内）</w:t>
      </w:r>
      <w:r>
        <w:rPr>
          <w:rFonts w:ascii="宋体" w:cs="宋体" w:hint="eastAsia"/>
          <w:kern w:val="0"/>
          <w:sz w:val="24"/>
        </w:rPr>
        <w:t>。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4"/>
      </w:tblGrid>
      <w:tr w:rsidR="00555EE6" w14:paraId="76EF2872" w14:textId="77777777" w:rsidTr="009D46BE">
        <w:trPr>
          <w:trHeight w:val="2156"/>
          <w:jc w:val="center"/>
        </w:trPr>
        <w:tc>
          <w:tcPr>
            <w:tcW w:w="9614" w:type="dxa"/>
          </w:tcPr>
          <w:p w14:paraId="1F53FE2D" w14:textId="77777777" w:rsidR="003E622F" w:rsidRDefault="003E622F" w:rsidP="003E622F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5359FB">
              <w:rPr>
                <w:rFonts w:ascii="宋体" w:hAnsi="宋体" w:hint="eastAsia"/>
                <w:sz w:val="24"/>
              </w:rPr>
              <w:t>同时在岩棉板外侧增加了</w:t>
            </w:r>
            <w:r w:rsidRPr="005359FB">
              <w:rPr>
                <w:rFonts w:ascii="宋体" w:hAnsi="宋体"/>
                <w:sz w:val="24"/>
              </w:rPr>
              <w:t>BIPV光伏板，降低建筑能耗的同时还能让建筑产生清洁能源，推动我国顺利实现双碳目标。光伏发电用于公共区域照明，余量并入电网获取收益。</w:t>
            </w:r>
          </w:p>
          <w:p w14:paraId="320B4F54" w14:textId="66BE933E" w:rsidR="00555EE6" w:rsidRPr="003E622F" w:rsidRDefault="003E622F" w:rsidP="009D46BE">
            <w:pPr>
              <w:adjustRightInd w:val="0"/>
              <w:snapToGrid w:val="0"/>
              <w:spacing w:line="288" w:lineRule="auto"/>
              <w:ind w:firstLineChars="200" w:firstLine="480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内部照明区域，还采用按时间开关等。</w:t>
            </w:r>
          </w:p>
        </w:tc>
      </w:tr>
    </w:tbl>
    <w:p w14:paraId="4FEFA2F0" w14:textId="77777777" w:rsidR="00555EE6" w:rsidRDefault="00555EE6" w:rsidP="00555EE6">
      <w:pPr>
        <w:adjustRightInd w:val="0"/>
        <w:snapToGrid w:val="0"/>
        <w:spacing w:line="460" w:lineRule="exact"/>
        <w:rPr>
          <w:rFonts w:ascii="宋体" w:cs="宋体"/>
          <w:kern w:val="0"/>
          <w:sz w:val="24"/>
        </w:rPr>
      </w:pPr>
    </w:p>
    <w:p w14:paraId="374A9F0A" w14:textId="77777777" w:rsidR="00555EE6" w:rsidRDefault="00555EE6" w:rsidP="00555EE6">
      <w:pPr>
        <w:numPr>
          <w:ilvl w:val="0"/>
          <w:numId w:val="1"/>
        </w:numPr>
        <w:tabs>
          <w:tab w:val="clear" w:pos="420"/>
          <w:tab w:val="left" w:pos="-567"/>
        </w:tabs>
        <w:spacing w:line="288" w:lineRule="auto"/>
        <w:ind w:left="371" w:hangingChars="176" w:hanging="371"/>
        <w:rPr>
          <w:b/>
          <w:szCs w:val="21"/>
          <w:lang w:val="zh-CN"/>
        </w:rPr>
      </w:pPr>
      <w:r>
        <w:rPr>
          <w:rFonts w:hint="eastAsia"/>
          <w:b/>
          <w:szCs w:val="21"/>
          <w:lang w:val="zh-CN"/>
        </w:rPr>
        <w:t>证明材料</w:t>
      </w:r>
    </w:p>
    <w:p w14:paraId="44C411E8" w14:textId="77777777" w:rsidR="00555EE6" w:rsidRDefault="00555EE6" w:rsidP="00555EE6">
      <w:pPr>
        <w:pStyle w:val="a3"/>
        <w:spacing w:line="288" w:lineRule="auto"/>
        <w:outlineLvl w:val="9"/>
        <w:rPr>
          <w:rFonts w:cs="宋体"/>
          <w:b/>
          <w:sz w:val="21"/>
          <w:szCs w:val="21"/>
        </w:rPr>
      </w:pPr>
      <w:r>
        <w:rPr>
          <w:rFonts w:cs="宋体" w:hint="eastAsia"/>
          <w:b/>
          <w:sz w:val="21"/>
          <w:szCs w:val="21"/>
        </w:rPr>
        <w:t>建议提交材料及要求：</w:t>
      </w:r>
    </w:p>
    <w:p w14:paraId="30EFD1DD" w14:textId="77777777" w:rsidR="00555EE6" w:rsidRDefault="00555EE6" w:rsidP="00555EE6">
      <w:pPr>
        <w:pStyle w:val="a3"/>
        <w:numPr>
          <w:ilvl w:val="0"/>
          <w:numId w:val="2"/>
        </w:numPr>
        <w:spacing w:line="288" w:lineRule="auto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照明专业图纸及设计说明：照明施工图设计说明中应有对照明系统的分区和控制原则进行说明，并与各层平面图相吻合；</w:t>
      </w:r>
    </w:p>
    <w:p w14:paraId="7B52EA4A" w14:textId="77777777" w:rsidR="00555EE6" w:rsidRPr="00A270A2" w:rsidRDefault="00555EE6" w:rsidP="00555EE6">
      <w:pPr>
        <w:pStyle w:val="a3"/>
        <w:numPr>
          <w:ilvl w:val="0"/>
          <w:numId w:val="2"/>
        </w:numPr>
        <w:spacing w:line="288" w:lineRule="auto"/>
        <w:outlineLvl w:val="9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照明控制系统图：对于集中控制的照明灯具，应提供相应的弱电图纸；对于声光感应灯自动控制的照明灯具，应体现在照明平面图和图例中。</w:t>
      </w:r>
    </w:p>
    <w:p w14:paraId="36F32560" w14:textId="77777777" w:rsidR="00555EE6" w:rsidRPr="004A70C3" w:rsidRDefault="00555EE6" w:rsidP="00555EE6">
      <w:pPr>
        <w:adjustRightInd w:val="0"/>
        <w:snapToGrid w:val="0"/>
        <w:spacing w:line="288" w:lineRule="auto"/>
        <w:rPr>
          <w:rFonts w:ascii="宋体" w:cs="宋体"/>
          <w:b/>
          <w:kern w:val="0"/>
        </w:rPr>
      </w:pPr>
      <w:r w:rsidRPr="004A70C3">
        <w:rPr>
          <w:rFonts w:ascii="宋体" w:cs="宋体" w:hint="eastAsia"/>
          <w:b/>
          <w:kern w:val="0"/>
        </w:rPr>
        <w:t>实际提交资料</w:t>
      </w:r>
      <w:r>
        <w:rPr>
          <w:rFonts w:ascii="宋体" w:cs="宋体" w:hint="eastAsia"/>
          <w:b/>
          <w:kern w:val="0"/>
        </w:rPr>
        <w:t>：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555EE6" w14:paraId="3EC13316" w14:textId="77777777" w:rsidTr="009D46BE">
        <w:trPr>
          <w:trHeight w:val="1050"/>
          <w:jc w:val="center"/>
        </w:trPr>
        <w:tc>
          <w:tcPr>
            <w:tcW w:w="9617" w:type="dxa"/>
          </w:tcPr>
          <w:p w14:paraId="28ED9D88" w14:textId="77777777" w:rsidR="00555EE6" w:rsidRPr="00E73D8B" w:rsidRDefault="00555EE6" w:rsidP="009D46BE">
            <w:pPr>
              <w:adjustRightInd w:val="0"/>
              <w:snapToGrid w:val="0"/>
              <w:spacing w:line="288" w:lineRule="auto"/>
              <w:rPr>
                <w:b/>
              </w:rPr>
            </w:pPr>
          </w:p>
        </w:tc>
      </w:tr>
    </w:tbl>
    <w:p w14:paraId="14D1B42D" w14:textId="77777777" w:rsidR="005D2261" w:rsidRDefault="005D2261"/>
    <w:sectPr w:rsidR="005D2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187"/>
    <w:multiLevelType w:val="multilevel"/>
    <w:tmpl w:val="33D23187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 w:hint="eastAsia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D69F3"/>
    <w:multiLevelType w:val="multilevel"/>
    <w:tmpl w:val="3E8D69F3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EE6"/>
    <w:rsid w:val="003E622F"/>
    <w:rsid w:val="00555EE6"/>
    <w:rsid w:val="005D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0A66"/>
  <w15:docId w15:val="{FC6ACC24-1DBE-42F9-9CE1-68777D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E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555EE6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55EE6"/>
    <w:rPr>
      <w:rFonts w:ascii="黑体" w:eastAsia="黑体" w:hAnsi="黑体" w:cs="Times New Roman"/>
      <w:b/>
      <w:bCs/>
      <w:sz w:val="24"/>
      <w:szCs w:val="32"/>
    </w:rPr>
  </w:style>
  <w:style w:type="paragraph" w:customStyle="1" w:styleId="a3">
    <w:name w:val="条文"/>
    <w:basedOn w:val="a"/>
    <w:link w:val="Char"/>
    <w:rsid w:val="00555EE6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555EE6"/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55E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云东</cp:lastModifiedBy>
  <cp:revision>3</cp:revision>
  <dcterms:created xsi:type="dcterms:W3CDTF">2016-03-22T03:11:00Z</dcterms:created>
  <dcterms:modified xsi:type="dcterms:W3CDTF">2022-03-09T12:21:00Z</dcterms:modified>
</cp:coreProperties>
</file>