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9619" w14:textId="77777777" w:rsidR="00E56D66" w:rsidRDefault="00E56D66" w:rsidP="00E56D66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12结合雨水利用设施进行景观水体设计，景观水体利用雨水的补水量大于其水体蒸发量的</w:t>
      </w:r>
      <w:r>
        <w:t>60%</w:t>
      </w:r>
      <w:r>
        <w:rPr>
          <w:rFonts w:hint="eastAsia"/>
        </w:rPr>
        <w:t>，且采用生态水处理技术保障水体水质。</w:t>
      </w:r>
      <w:r w:rsidRPr="000D5983">
        <w:rPr>
          <w:rFonts w:hint="eastAsia"/>
        </w:rPr>
        <w:t>（总分</w:t>
      </w:r>
      <w:r>
        <w:rPr>
          <w:rFonts w:hint="eastAsia"/>
        </w:rPr>
        <w:t>7</w:t>
      </w:r>
      <w:r w:rsidRPr="000D5983">
        <w:rPr>
          <w:rFonts w:hint="eastAsia"/>
        </w:rPr>
        <w:t>分）</w:t>
      </w:r>
    </w:p>
    <w:p w14:paraId="5AF408D5" w14:textId="77777777" w:rsidR="00E56D66" w:rsidRDefault="00E56D66" w:rsidP="00E56D66">
      <w:pPr>
        <w:spacing w:line="360" w:lineRule="auto"/>
        <w:rPr>
          <w:szCs w:val="21"/>
        </w:rPr>
      </w:pPr>
    </w:p>
    <w:p w14:paraId="5F03C5B8" w14:textId="77777777" w:rsidR="00E56D66" w:rsidRDefault="00E56D66" w:rsidP="00E56D66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6"/>
        <w:gridCol w:w="1871"/>
        <w:gridCol w:w="1700"/>
      </w:tblGrid>
      <w:tr w:rsidR="00E56D66" w14:paraId="27795B14" w14:textId="77777777" w:rsidTr="00E15EF3">
        <w:tc>
          <w:tcPr>
            <w:tcW w:w="4806" w:type="dxa"/>
          </w:tcPr>
          <w:p w14:paraId="2EC504BA" w14:textId="77777777" w:rsidR="00E56D66" w:rsidRDefault="00E56D66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14:paraId="57532817" w14:textId="77777777" w:rsidR="00E56D66" w:rsidRDefault="00E56D66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700" w:type="dxa"/>
          </w:tcPr>
          <w:p w14:paraId="2C35D000" w14:textId="77777777" w:rsidR="00E56D66" w:rsidRDefault="00E56D66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E56D66" w14:paraId="68A37C88" w14:textId="77777777" w:rsidTr="00E15EF3">
        <w:tc>
          <w:tcPr>
            <w:tcW w:w="4806" w:type="dxa"/>
            <w:vAlign w:val="center"/>
          </w:tcPr>
          <w:p w14:paraId="75A7E840" w14:textId="77777777" w:rsidR="00E56D66" w:rsidRDefault="00E56D66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对进入景观水体的雨水采取控制面源污染的措施</w:t>
            </w:r>
          </w:p>
        </w:tc>
        <w:tc>
          <w:tcPr>
            <w:tcW w:w="1871" w:type="dxa"/>
            <w:vAlign w:val="center"/>
          </w:tcPr>
          <w:p w14:paraId="4585E539" w14:textId="77777777"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4</w:t>
            </w:r>
          </w:p>
        </w:tc>
        <w:tc>
          <w:tcPr>
            <w:tcW w:w="1700" w:type="dxa"/>
            <w:vAlign w:val="center"/>
          </w:tcPr>
          <w:p w14:paraId="3CB78CDB" w14:textId="77777777" w:rsidR="00E56D66" w:rsidRPr="001D56FC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E56D66" w14:paraId="47F5E677" w14:textId="77777777" w:rsidTr="00E15EF3">
        <w:tc>
          <w:tcPr>
            <w:tcW w:w="4806" w:type="dxa"/>
            <w:vAlign w:val="center"/>
          </w:tcPr>
          <w:p w14:paraId="62ED587A" w14:textId="77777777" w:rsidR="00E56D66" w:rsidRDefault="00E56D66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利用水生动、植物进行水体净化</w:t>
            </w:r>
          </w:p>
        </w:tc>
        <w:tc>
          <w:tcPr>
            <w:tcW w:w="1871" w:type="dxa"/>
            <w:vAlign w:val="center"/>
          </w:tcPr>
          <w:p w14:paraId="46682FD0" w14:textId="77777777"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1700" w:type="dxa"/>
            <w:vAlign w:val="center"/>
          </w:tcPr>
          <w:p w14:paraId="25FF2331" w14:textId="77777777" w:rsidR="00E56D66" w:rsidRPr="001D56FC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E56D66" w14:paraId="56F8D2E3" w14:textId="77777777" w:rsidTr="00E15EF3">
        <w:tc>
          <w:tcPr>
            <w:tcW w:w="4806" w:type="dxa"/>
            <w:vAlign w:val="center"/>
          </w:tcPr>
          <w:p w14:paraId="3F975100" w14:textId="77777777" w:rsidR="00E56D66" w:rsidRDefault="00E56D66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未设置景观水体</w:t>
            </w:r>
          </w:p>
        </w:tc>
        <w:tc>
          <w:tcPr>
            <w:tcW w:w="1871" w:type="dxa"/>
            <w:vAlign w:val="center"/>
          </w:tcPr>
          <w:p w14:paraId="2B0B4AD0" w14:textId="77777777"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  <w:tc>
          <w:tcPr>
            <w:tcW w:w="1700" w:type="dxa"/>
            <w:vAlign w:val="center"/>
          </w:tcPr>
          <w:p w14:paraId="6B41D0EC" w14:textId="1A49556A" w:rsidR="00E56D66" w:rsidRPr="001D56FC" w:rsidRDefault="00541503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</w:tr>
      <w:tr w:rsidR="00E56D66" w14:paraId="2D130BD6" w14:textId="77777777" w:rsidTr="00E15EF3">
        <w:tc>
          <w:tcPr>
            <w:tcW w:w="4806" w:type="dxa"/>
            <w:vAlign w:val="center"/>
          </w:tcPr>
          <w:p w14:paraId="22BF30B3" w14:textId="77777777"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  <w:vAlign w:val="center"/>
          </w:tcPr>
          <w:p w14:paraId="1BBBFB87" w14:textId="77777777" w:rsidR="00E56D66" w:rsidRDefault="00E56D66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  <w:tc>
          <w:tcPr>
            <w:tcW w:w="1700" w:type="dxa"/>
            <w:vAlign w:val="center"/>
          </w:tcPr>
          <w:p w14:paraId="15AD1BE0" w14:textId="0A5E860D" w:rsidR="00E56D66" w:rsidRPr="001D56FC" w:rsidRDefault="00541503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</w:tr>
    </w:tbl>
    <w:p w14:paraId="4EB9D1B4" w14:textId="77777777" w:rsidR="00E56D66" w:rsidRDefault="00E56D66" w:rsidP="00E56D66">
      <w:pPr>
        <w:spacing w:line="288" w:lineRule="auto"/>
        <w:rPr>
          <w:szCs w:val="21"/>
        </w:rPr>
      </w:pPr>
    </w:p>
    <w:p w14:paraId="49AED2BD" w14:textId="77777777" w:rsidR="00E56D66" w:rsidRDefault="00E56D66" w:rsidP="00E56D66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</w:t>
      </w:r>
    </w:p>
    <w:p w14:paraId="52D76929" w14:textId="0297A10F" w:rsidR="00E56D66" w:rsidRPr="00696EE4" w:rsidRDefault="00E56D66" w:rsidP="00E56D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项目内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设</w:t>
      </w: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有景观水体：</w:t>
      </w:r>
      <w:r w:rsidRPr="00696EE4">
        <w:rPr>
          <w:rFonts w:asciiTheme="minorEastAsia" w:eastAsiaTheme="minorEastAsia" w:hAnsiTheme="minorEastAsia" w:cs="宋体"/>
          <w:kern w:val="0"/>
          <w:szCs w:val="21"/>
        </w:rPr>
        <w:t>□</w:t>
      </w: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是、</w:t>
      </w:r>
      <w:r w:rsidR="00541503">
        <w:rPr>
          <w:rFonts w:asciiTheme="minorEastAsia" w:eastAsiaTheme="minorEastAsia" w:hAnsiTheme="minorEastAsia" w:cs="宋体"/>
          <w:kern w:val="0"/>
          <w:szCs w:val="21"/>
        </w:rPr>
        <w:sym w:font="Wingdings 2" w:char="F052"/>
      </w:r>
      <w:r w:rsidRPr="00696EE4">
        <w:rPr>
          <w:rFonts w:asciiTheme="minorEastAsia" w:eastAsiaTheme="minorEastAsia" w:hAnsiTheme="minorEastAsia" w:cs="宋体" w:hint="eastAsia"/>
          <w:kern w:val="0"/>
          <w:szCs w:val="21"/>
        </w:rPr>
        <w:t>否</w:t>
      </w:r>
    </w:p>
    <w:p w14:paraId="2CEA3531" w14:textId="77777777" w:rsidR="00E56D66" w:rsidRDefault="00E56D66" w:rsidP="00E56D66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ascii="宋体" w:hAnsi="Calibri" w:cs="宋体" w:hint="eastAsia"/>
          <w:kern w:val="0"/>
          <w:szCs w:val="21"/>
        </w:rPr>
        <w:t>景观水体补水来源：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临近的河、湖水、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市政中水、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建筑中水、</w:t>
      </w:r>
      <w:r>
        <w:rPr>
          <w:rFonts w:eastAsia="仿宋_GB2312" w:cs="仿宋_GB2312" w:hint="eastAsia"/>
          <w:szCs w:val="21"/>
        </w:rPr>
        <w:t>□</w:t>
      </w:r>
      <w:r>
        <w:rPr>
          <w:rFonts w:ascii="宋体" w:hAnsi="Calibri" w:cs="宋体" w:hint="eastAsia"/>
          <w:kern w:val="0"/>
          <w:szCs w:val="21"/>
        </w:rPr>
        <w:t>雨水</w:t>
      </w:r>
    </w:p>
    <w:p w14:paraId="300776D6" w14:textId="77777777" w:rsidR="00E56D66" w:rsidRDefault="00E56D66" w:rsidP="00E56D66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ascii="宋体" w:hAnsi="Calibri" w:cs="宋体" w:hint="eastAsia"/>
          <w:kern w:val="0"/>
          <w:szCs w:val="21"/>
        </w:rPr>
        <w:t>景观水体利用雨水的补水量占其水体蒸发量的比例：</w:t>
      </w:r>
      <w:r>
        <w:rPr>
          <w:rFonts w:cs="宋体" w:hint="eastAsia"/>
          <w:u w:val="single"/>
        </w:rPr>
        <w:t xml:space="preserve">    </w:t>
      </w:r>
      <w:r>
        <w:rPr>
          <w:rFonts w:ascii="宋体" w:hAnsi="Calibri" w:cs="宋体" w:hint="eastAsia"/>
          <w:kern w:val="0"/>
          <w:szCs w:val="21"/>
        </w:rPr>
        <w:t xml:space="preserve"> %</w:t>
      </w:r>
    </w:p>
    <w:p w14:paraId="2966C802" w14:textId="77777777" w:rsidR="00E56D66" w:rsidRDefault="00E56D66" w:rsidP="00E56D66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hint="eastAsia"/>
          <w:szCs w:val="21"/>
          <w:lang w:val="zh-CN"/>
        </w:rPr>
        <w:t>简要说明水景设计方案、所在地气候条件（逐月蒸发量、降雨量）、项目场地条件（综合径流系数）、</w:t>
      </w:r>
      <w:r>
        <w:rPr>
          <w:rFonts w:hint="eastAsia"/>
          <w:szCs w:val="21"/>
        </w:rPr>
        <w:t>雨水利用设施和</w:t>
      </w:r>
      <w:r>
        <w:rPr>
          <w:rFonts w:hint="eastAsia"/>
          <w:szCs w:val="21"/>
          <w:lang w:val="zh-CN"/>
        </w:rPr>
        <w:t>雨水生态系统的工艺流程及参数</w:t>
      </w:r>
      <w:r>
        <w:rPr>
          <w:rFonts w:cs="宋体" w:hint="eastAsia"/>
        </w:rPr>
        <w:t>、水质安全保障措施</w:t>
      </w:r>
      <w:r>
        <w:rPr>
          <w:rFonts w:hint="eastAsia"/>
          <w:szCs w:val="21"/>
          <w:lang w:val="zh-CN"/>
        </w:rPr>
        <w:t>。（</w:t>
      </w:r>
      <w:r>
        <w:rPr>
          <w:rFonts w:hint="eastAsia"/>
          <w:szCs w:val="21"/>
          <w:lang w:val="zh-CN"/>
        </w:rPr>
        <w:t>30</w:t>
      </w:r>
      <w:r>
        <w:rPr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字以内）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7"/>
      </w:tblGrid>
      <w:tr w:rsidR="00E56D66" w14:paraId="7DC02428" w14:textId="77777777" w:rsidTr="00E15EF3">
        <w:trPr>
          <w:trHeight w:val="1512"/>
        </w:trPr>
        <w:tc>
          <w:tcPr>
            <w:tcW w:w="8677" w:type="dxa"/>
          </w:tcPr>
          <w:p w14:paraId="6713CD84" w14:textId="77777777" w:rsidR="00E56D66" w:rsidRPr="001D46A4" w:rsidRDefault="00E56D66" w:rsidP="00E15EF3">
            <w:pPr>
              <w:spacing w:line="288" w:lineRule="auto"/>
              <w:ind w:firstLineChars="200" w:firstLine="422"/>
              <w:rPr>
                <w:b/>
                <w:szCs w:val="21"/>
              </w:rPr>
            </w:pPr>
          </w:p>
        </w:tc>
      </w:tr>
    </w:tbl>
    <w:p w14:paraId="4F37FF40" w14:textId="77777777" w:rsidR="00E56D66" w:rsidRDefault="00E56D66" w:rsidP="00E56D66">
      <w:pPr>
        <w:spacing w:line="360" w:lineRule="auto"/>
      </w:pPr>
    </w:p>
    <w:p w14:paraId="324829AB" w14:textId="77777777" w:rsidR="00E56D66" w:rsidRDefault="00E56D66" w:rsidP="00E56D66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14:paraId="157362C9" w14:textId="77777777" w:rsidR="00E56D66" w:rsidRDefault="00E56D66" w:rsidP="00E56D66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14:paraId="06A16E72" w14:textId="77777777"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DC6381">
        <w:rPr>
          <w:rFonts w:hint="eastAsia"/>
          <w:szCs w:val="21"/>
        </w:rPr>
        <w:t>水景施工图（包括水景给排水设计施工说明、平面图、系统图、详图）</w:t>
      </w:r>
      <w:r>
        <w:rPr>
          <w:rFonts w:hint="eastAsia"/>
          <w:szCs w:val="21"/>
        </w:rPr>
        <w:t>；</w:t>
      </w:r>
    </w:p>
    <w:p w14:paraId="7A16D271" w14:textId="77777777"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CC69CC">
        <w:rPr>
          <w:rFonts w:hint="eastAsia"/>
          <w:szCs w:val="21"/>
        </w:rPr>
        <w:t>场地竖向总图：应包含场地竖向设计、雨水汇水面积划分、径流组织等相关内容；</w:t>
      </w:r>
    </w:p>
    <w:p w14:paraId="589440BF" w14:textId="77777777"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CC69CC">
        <w:rPr>
          <w:rFonts w:hint="eastAsia"/>
          <w:szCs w:val="21"/>
        </w:rPr>
        <w:t>雨水面源污染控制设计：应包含污染控制设施设计、污染物控制计算、水生动植物的设计与投放等；</w:t>
      </w:r>
    </w:p>
    <w:p w14:paraId="4A84B76D" w14:textId="77777777" w:rsidR="00E56D66" w:rsidRDefault="00E56D66" w:rsidP="00E56D66">
      <w:pPr>
        <w:pStyle w:val="1"/>
        <w:numPr>
          <w:ilvl w:val="0"/>
          <w:numId w:val="2"/>
        </w:numPr>
        <w:ind w:firstLineChars="0"/>
        <w:rPr>
          <w:szCs w:val="21"/>
        </w:rPr>
      </w:pPr>
      <w:r w:rsidRPr="00CC69CC">
        <w:rPr>
          <w:rFonts w:hint="eastAsia"/>
          <w:szCs w:val="21"/>
        </w:rPr>
        <w:t>水量平衡计算书：体现景观水体蒸发量、调蓄容积、雨水可回用量、雨水补水量之间水量平衡分析；</w:t>
      </w:r>
    </w:p>
    <w:p w14:paraId="607DBAD8" w14:textId="77777777" w:rsidR="00E56D66" w:rsidRDefault="00E56D66" w:rsidP="00E56D66">
      <w:pPr>
        <w:numPr>
          <w:ilvl w:val="0"/>
          <w:numId w:val="2"/>
        </w:numPr>
        <w:spacing w:line="288" w:lineRule="auto"/>
      </w:pPr>
      <w:r w:rsidRPr="00CC69CC">
        <w:rPr>
          <w:rFonts w:hint="eastAsia"/>
        </w:rPr>
        <w:t>雨水利用率计算书</w:t>
      </w:r>
      <w:r>
        <w:rPr>
          <w:rFonts w:hint="eastAsia"/>
        </w:rPr>
        <w:t>。</w:t>
      </w:r>
    </w:p>
    <w:p w14:paraId="5275E009" w14:textId="77777777" w:rsidR="00E56D66" w:rsidRDefault="00E56D66" w:rsidP="00E56D66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7"/>
      </w:tblGrid>
      <w:tr w:rsidR="00E56D66" w14:paraId="7261AC31" w14:textId="77777777" w:rsidTr="00E15EF3">
        <w:trPr>
          <w:cantSplit/>
          <w:trHeight w:val="1179"/>
        </w:trPr>
        <w:tc>
          <w:tcPr>
            <w:tcW w:w="8677" w:type="dxa"/>
          </w:tcPr>
          <w:p w14:paraId="0F20A4DF" w14:textId="77777777" w:rsidR="00E56D66" w:rsidRPr="00EE5207" w:rsidRDefault="00E56D66" w:rsidP="00E15EF3">
            <w:pPr>
              <w:spacing w:line="288" w:lineRule="auto"/>
              <w:rPr>
                <w:szCs w:val="21"/>
              </w:rPr>
            </w:pPr>
          </w:p>
        </w:tc>
      </w:tr>
    </w:tbl>
    <w:p w14:paraId="2817C1F2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2047"/>
    <w:multiLevelType w:val="multilevel"/>
    <w:tmpl w:val="3CECB2DE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>
      <w:start w:val="1"/>
      <w:numFmt w:val="decimal"/>
      <w:lvlText w:val="%2、"/>
      <w:lvlJc w:val="left"/>
      <w:pPr>
        <w:ind w:left="735" w:hanging="31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9F758B6"/>
    <w:multiLevelType w:val="multilevel"/>
    <w:tmpl w:val="49F758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D66"/>
    <w:rsid w:val="00541503"/>
    <w:rsid w:val="005B48A8"/>
    <w:rsid w:val="006D2B9F"/>
    <w:rsid w:val="008A7F9A"/>
    <w:rsid w:val="00E5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CEC0"/>
  <w15:docId w15:val="{EC2BD94F-0BDF-49FA-8388-758655F0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D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E56D6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E56D6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E56D66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E56D6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a4"/>
    <w:uiPriority w:val="99"/>
    <w:semiHidden/>
    <w:unhideWhenUsed/>
    <w:rsid w:val="00E56D66"/>
    <w:rPr>
      <w:rFonts w:ascii="宋体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E56D66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云东</cp:lastModifiedBy>
  <cp:revision>2</cp:revision>
  <dcterms:created xsi:type="dcterms:W3CDTF">2016-03-22T03:52:00Z</dcterms:created>
  <dcterms:modified xsi:type="dcterms:W3CDTF">2022-03-10T03:03:00Z</dcterms:modified>
</cp:coreProperties>
</file>