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5CA8" w14:textId="43ED2FEC"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1</w:t>
      </w:r>
      <w:r w:rsidRPr="00891681">
        <w:rPr>
          <w:rFonts w:ascii="宋体" w:eastAsia="宋体" w:hAnsi="宋体"/>
          <w:sz w:val="24"/>
          <w:szCs w:val="24"/>
        </w:rPr>
        <w:t>.</w:t>
      </w:r>
      <w:r w:rsidRPr="00891681">
        <w:rPr>
          <w:rFonts w:ascii="宋体" w:eastAsia="宋体" w:hAnsi="宋体" w:hint="eastAsia"/>
          <w:sz w:val="24"/>
          <w:szCs w:val="24"/>
        </w:rPr>
        <w:t>政务外网网络</w:t>
      </w:r>
    </w:p>
    <w:p w14:paraId="6DA2D1B1" w14:textId="6DDAEC91"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政务外网的网络架构采取扁平式架构，避免过多接点导致的网络故障。采用一台核心层交换机与两台接入层交换机，构成该网络系统的基础通讯平台。边界网络采用防火墙，入侵检测，防病毒网关等安全设备，为政务外网系统保驾护航，为的应用提供足够的安全性，可靠性。</w:t>
      </w:r>
    </w:p>
    <w:p w14:paraId="1A5364BF" w14:textId="7F189A0D"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政务外网专线光纤入户，接入弱电机房，与机房内的防火墙设备直接连接，</w:t>
      </w:r>
    </w:p>
    <w:p w14:paraId="676166CD" w14:textId="51EDA670"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核心交换机通过跳线与机房内接入层交换机连接。政务外网的设备安装在机房外网机柜内。</w:t>
      </w:r>
    </w:p>
    <w:p w14:paraId="1EB1B179" w14:textId="4C00B35C"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如上图所示，通过防火墙与互联网连接，防火墙负责网络边界安全与访问控制。下联一台核心交换机与接入交换机，接入交换机将各科室网络信息点统一管理访问政务外网。并且在网络中部署入侵检测系统与</w:t>
      </w:r>
      <w:proofErr w:type="gramStart"/>
      <w:r w:rsidRPr="00891681">
        <w:rPr>
          <w:rFonts w:ascii="宋体" w:eastAsia="宋体" w:hAnsi="宋体" w:hint="eastAsia"/>
          <w:sz w:val="24"/>
          <w:szCs w:val="24"/>
        </w:rPr>
        <w:t>网络版防病毒</w:t>
      </w:r>
      <w:proofErr w:type="gramEnd"/>
      <w:r w:rsidRPr="00891681">
        <w:rPr>
          <w:rFonts w:ascii="宋体" w:eastAsia="宋体" w:hAnsi="宋体" w:hint="eastAsia"/>
          <w:sz w:val="24"/>
          <w:szCs w:val="24"/>
        </w:rPr>
        <w:t>服务器，用户终端电脑安装</w:t>
      </w:r>
      <w:proofErr w:type="gramStart"/>
      <w:r w:rsidRPr="00891681">
        <w:rPr>
          <w:rFonts w:ascii="宋体" w:eastAsia="宋体" w:hAnsi="宋体" w:hint="eastAsia"/>
          <w:sz w:val="24"/>
          <w:szCs w:val="24"/>
        </w:rPr>
        <w:t>网络版防病毒</w:t>
      </w:r>
      <w:proofErr w:type="gramEnd"/>
      <w:r w:rsidRPr="00891681">
        <w:rPr>
          <w:rFonts w:ascii="宋体" w:eastAsia="宋体" w:hAnsi="宋体" w:hint="eastAsia"/>
          <w:sz w:val="24"/>
          <w:szCs w:val="24"/>
        </w:rPr>
        <w:t>软件。</w:t>
      </w:r>
    </w:p>
    <w:p w14:paraId="13BD3CE4" w14:textId="7E919CB2" w:rsidR="00981FEA" w:rsidRPr="00891681" w:rsidRDefault="00FC3B68" w:rsidP="00FC3B68">
      <w:pPr>
        <w:ind w:firstLineChars="0" w:firstLine="0"/>
        <w:jc w:val="center"/>
        <w:rPr>
          <w:rFonts w:ascii="宋体" w:eastAsia="宋体" w:hAnsi="宋体"/>
          <w:sz w:val="24"/>
          <w:szCs w:val="24"/>
        </w:rPr>
      </w:pPr>
      <w:r w:rsidRPr="00891681">
        <w:rPr>
          <w:rFonts w:ascii="宋体" w:eastAsia="宋体" w:hAnsi="宋体"/>
          <w:noProof/>
          <w:sz w:val="24"/>
          <w:szCs w:val="24"/>
        </w:rPr>
        <w:drawing>
          <wp:inline distT="0" distB="0" distL="0" distR="0" wp14:anchorId="5943B80D" wp14:editId="15F8A2FE">
            <wp:extent cx="4168501" cy="412277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68501" cy="4122777"/>
                    </a:xfrm>
                    <a:prstGeom prst="rect">
                      <a:avLst/>
                    </a:prstGeom>
                  </pic:spPr>
                </pic:pic>
              </a:graphicData>
            </a:graphic>
          </wp:inline>
        </w:drawing>
      </w:r>
    </w:p>
    <w:p w14:paraId="428110B1" w14:textId="77777777"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如上图所示，通过防火墙与省电子政务内网连接，入侵检测、安全审计等安全设备接入网络中负责安全防护。一台核心交换机与二台接入层交换机负责承载用户网络访问服务。防病毒服务器作为防病毒与安全审计系统的控制中心平台。办公自动化系统服务器在网络中作为承载办公自动化系统的平台。用户终端电脑安装</w:t>
      </w:r>
      <w:proofErr w:type="gramStart"/>
      <w:r w:rsidRPr="00891681">
        <w:rPr>
          <w:rFonts w:ascii="宋体" w:eastAsia="宋体" w:hAnsi="宋体" w:hint="eastAsia"/>
          <w:sz w:val="24"/>
          <w:szCs w:val="24"/>
        </w:rPr>
        <w:t>网络版防病毒</w:t>
      </w:r>
      <w:proofErr w:type="gramEnd"/>
      <w:r w:rsidRPr="00891681">
        <w:rPr>
          <w:rFonts w:ascii="宋体" w:eastAsia="宋体" w:hAnsi="宋体" w:hint="eastAsia"/>
          <w:sz w:val="24"/>
          <w:szCs w:val="24"/>
        </w:rPr>
        <w:t>软件。</w:t>
      </w:r>
    </w:p>
    <w:p w14:paraId="6C6A4172" w14:textId="77777777"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业务访问方面，在防火墙上设置访问策略，与省电子政务内网有信息交互的用户可以</w:t>
      </w:r>
      <w:proofErr w:type="gramStart"/>
      <w:r w:rsidRPr="00891681">
        <w:rPr>
          <w:rFonts w:ascii="宋体" w:eastAsia="宋体" w:hAnsi="宋体" w:hint="eastAsia"/>
          <w:sz w:val="24"/>
          <w:szCs w:val="24"/>
        </w:rPr>
        <w:t>访问省</w:t>
      </w:r>
      <w:proofErr w:type="gramEnd"/>
      <w:r w:rsidRPr="00891681">
        <w:rPr>
          <w:rFonts w:ascii="宋体" w:eastAsia="宋体" w:hAnsi="宋体" w:hint="eastAsia"/>
          <w:sz w:val="24"/>
          <w:szCs w:val="24"/>
        </w:rPr>
        <w:t>电子政务内网，而其它用户则不允许</w:t>
      </w:r>
      <w:proofErr w:type="gramStart"/>
      <w:r w:rsidRPr="00891681">
        <w:rPr>
          <w:rFonts w:ascii="宋体" w:eastAsia="宋体" w:hAnsi="宋体" w:hint="eastAsia"/>
          <w:sz w:val="24"/>
          <w:szCs w:val="24"/>
        </w:rPr>
        <w:t>访问省</w:t>
      </w:r>
      <w:proofErr w:type="gramEnd"/>
      <w:r w:rsidRPr="00891681">
        <w:rPr>
          <w:rFonts w:ascii="宋体" w:eastAsia="宋体" w:hAnsi="宋体" w:hint="eastAsia"/>
          <w:sz w:val="24"/>
          <w:szCs w:val="24"/>
        </w:rPr>
        <w:t>电子政务内网。</w:t>
      </w:r>
    </w:p>
    <w:p w14:paraId="435DA8E0" w14:textId="77777777"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入侵检测系统能够帮助网络系统快速发现攻击的发生</w:t>
      </w:r>
      <w:r w:rsidRPr="00891681">
        <w:rPr>
          <w:rFonts w:ascii="宋体" w:eastAsia="宋体" w:hAnsi="宋体"/>
          <w:sz w:val="24"/>
          <w:szCs w:val="24"/>
        </w:rPr>
        <w:t>,它扩展了系统管理员的安全管理能力（包括安全审计、监视、进攻识别和响应)，提高了信息安全基础结构的健壮性。</w:t>
      </w:r>
    </w:p>
    <w:p w14:paraId="7B2479F4" w14:textId="77777777"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lastRenderedPageBreak/>
        <w:t>使用审计系统对用户的网络行为监控、网络传输内容审计</w:t>
      </w:r>
      <w:r w:rsidRPr="00891681">
        <w:rPr>
          <w:rFonts w:ascii="宋体" w:eastAsia="宋体" w:hAnsi="宋体"/>
          <w:sz w:val="24"/>
          <w:szCs w:val="24"/>
        </w:rPr>
        <w:t>(如是否在工作时间上网冲浪、聊天，是否访问不健康网站，是否通过网络泄漏了单位的机密信息，是否通过网络传播了反动言论等)，掌握网络使用情况，提高工作效率，网络传输信息的实时采集、海量存储、统计分析，网络行为后期取证，对网络潜在威胁者予以威慑。</w:t>
      </w:r>
    </w:p>
    <w:p w14:paraId="44E06663" w14:textId="77777777" w:rsidR="00FC3B68" w:rsidRPr="00891681" w:rsidRDefault="00FC3B68" w:rsidP="00FC3B68">
      <w:pPr>
        <w:ind w:firstLineChars="0" w:firstLine="0"/>
        <w:rPr>
          <w:rFonts w:ascii="宋体" w:eastAsia="宋体" w:hAnsi="宋体"/>
          <w:sz w:val="24"/>
          <w:szCs w:val="24"/>
        </w:rPr>
      </w:pPr>
    </w:p>
    <w:p w14:paraId="41678B03" w14:textId="30D6F8D7" w:rsidR="00FC3B68" w:rsidRPr="00891681" w:rsidRDefault="00FC3B68" w:rsidP="00FC3B68">
      <w:pPr>
        <w:ind w:firstLineChars="0" w:firstLine="0"/>
        <w:rPr>
          <w:rFonts w:ascii="宋体" w:eastAsia="宋体" w:hAnsi="宋体"/>
          <w:sz w:val="24"/>
          <w:szCs w:val="24"/>
        </w:rPr>
      </w:pPr>
      <w:r w:rsidRPr="00891681">
        <w:rPr>
          <w:rFonts w:ascii="宋体" w:eastAsia="宋体" w:hAnsi="宋体"/>
          <w:sz w:val="24"/>
          <w:szCs w:val="24"/>
        </w:rPr>
        <w:t>2.综合布线设计</w:t>
      </w:r>
    </w:p>
    <w:p w14:paraId="231199DB" w14:textId="42150EAC" w:rsidR="00FC3B68" w:rsidRPr="00891681" w:rsidRDefault="00FC3B68" w:rsidP="00FC3B68">
      <w:pPr>
        <w:ind w:firstLine="480"/>
        <w:rPr>
          <w:rFonts w:ascii="宋体" w:eastAsia="宋体" w:hAnsi="宋体"/>
          <w:sz w:val="24"/>
          <w:szCs w:val="24"/>
        </w:rPr>
      </w:pPr>
      <w:r w:rsidRPr="00891681">
        <w:rPr>
          <w:rFonts w:ascii="宋体" w:eastAsia="宋体" w:hAnsi="宋体" w:hint="eastAsia"/>
          <w:sz w:val="24"/>
          <w:szCs w:val="24"/>
        </w:rPr>
        <w:t>综合布线系统是一项实践性很强的工程。它是现代社会信息化的必然产物，是多功能、智能型大楼的必然要求。综合布线系统对基于各种系统资源的大楼总体功能的发挥并保持各部门长期、高效率的运转发挥着重要的作用。完善的布线系统工程必须完成六个方面的工作</w:t>
      </w:r>
      <w:r w:rsidRPr="00891681">
        <w:rPr>
          <w:rFonts w:ascii="宋体" w:eastAsia="宋体" w:hAnsi="宋体"/>
          <w:sz w:val="24"/>
          <w:szCs w:val="24"/>
        </w:rPr>
        <w:t>:方案论证、系统设计、工程施工、</w:t>
      </w:r>
      <w:proofErr w:type="gramStart"/>
      <w:r w:rsidRPr="00891681">
        <w:rPr>
          <w:rFonts w:ascii="宋体" w:eastAsia="宋体" w:hAnsi="宋体"/>
          <w:sz w:val="24"/>
          <w:szCs w:val="24"/>
        </w:rPr>
        <w:t>统验系收</w:t>
      </w:r>
      <w:proofErr w:type="gramEnd"/>
      <w:r w:rsidRPr="00891681">
        <w:rPr>
          <w:rFonts w:ascii="宋体" w:eastAsia="宋体" w:hAnsi="宋体"/>
          <w:sz w:val="24"/>
          <w:szCs w:val="24"/>
        </w:rPr>
        <w:t>、文档说明和应用培训。</w:t>
      </w:r>
    </w:p>
    <w:p w14:paraId="0A7DE67F" w14:textId="74357DBA" w:rsidR="00891681" w:rsidRPr="00891681" w:rsidRDefault="00891681" w:rsidP="00891681">
      <w:pPr>
        <w:ind w:firstLine="480"/>
        <w:rPr>
          <w:rFonts w:ascii="宋体" w:eastAsia="宋体" w:hAnsi="宋体"/>
          <w:sz w:val="24"/>
          <w:szCs w:val="24"/>
        </w:rPr>
      </w:pPr>
      <w:r w:rsidRPr="00891681">
        <w:rPr>
          <w:rFonts w:ascii="宋体" w:eastAsia="宋体" w:hAnsi="宋体"/>
          <w:sz w:val="24"/>
          <w:szCs w:val="24"/>
        </w:rPr>
        <w:t>设计标准</w:t>
      </w:r>
    </w:p>
    <w:p w14:paraId="14D47B34" w14:textId="77777777"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1.ISO/IEC 11801标准;</w:t>
      </w:r>
    </w:p>
    <w:p w14:paraId="74B8E1D8" w14:textId="080722F3"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2.EIA/TIA 568A标准</w:t>
      </w:r>
    </w:p>
    <w:p w14:paraId="7BB61760" w14:textId="13ABC3B3"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3</w:t>
      </w:r>
      <w:r w:rsidRPr="00891681">
        <w:rPr>
          <w:rFonts w:ascii="宋体" w:eastAsia="宋体" w:hAnsi="宋体"/>
          <w:sz w:val="24"/>
          <w:szCs w:val="24"/>
        </w:rPr>
        <w:t>.</w:t>
      </w:r>
      <w:r w:rsidRPr="00891681">
        <w:rPr>
          <w:rFonts w:ascii="宋体" w:eastAsia="宋体" w:hAnsi="宋体"/>
          <w:sz w:val="24"/>
          <w:szCs w:val="24"/>
        </w:rPr>
        <w:t>EIA/TIA 569标准</w:t>
      </w:r>
    </w:p>
    <w:p w14:paraId="73BD05A4" w14:textId="368732D6"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4.EIA/TIA-606标准5.EIA/TIA-607标准</w:t>
      </w:r>
    </w:p>
    <w:p w14:paraId="358E4D41" w14:textId="5C1E97AF"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6.CECS 72:97</w:t>
      </w:r>
      <w:r w:rsidRPr="00891681">
        <w:rPr>
          <w:rFonts w:ascii="宋体" w:eastAsia="宋体" w:hAnsi="宋体" w:hint="eastAsia"/>
          <w:sz w:val="24"/>
          <w:szCs w:val="24"/>
        </w:rPr>
        <w:t>《</w:t>
      </w:r>
      <w:r w:rsidRPr="00891681">
        <w:rPr>
          <w:rFonts w:ascii="宋体" w:eastAsia="宋体" w:hAnsi="宋体"/>
          <w:sz w:val="24"/>
          <w:szCs w:val="24"/>
        </w:rPr>
        <w:t>建筑与建筑群综合布线系统设计规范</w:t>
      </w:r>
      <w:r w:rsidRPr="00891681">
        <w:rPr>
          <w:rFonts w:ascii="宋体" w:eastAsia="宋体" w:hAnsi="宋体" w:hint="eastAsia"/>
          <w:sz w:val="24"/>
          <w:szCs w:val="24"/>
        </w:rPr>
        <w:t>》</w:t>
      </w:r>
    </w:p>
    <w:p w14:paraId="6D3C421B" w14:textId="77777777"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 xml:space="preserve">7.CECS 72:97 </w:t>
      </w:r>
      <w:r w:rsidRPr="00891681">
        <w:rPr>
          <w:rFonts w:ascii="宋体" w:eastAsia="宋体" w:hAnsi="宋体" w:hint="eastAsia"/>
          <w:sz w:val="24"/>
          <w:szCs w:val="24"/>
        </w:rPr>
        <w:t>《</w:t>
      </w:r>
      <w:r w:rsidRPr="00891681">
        <w:rPr>
          <w:rFonts w:ascii="宋体" w:eastAsia="宋体" w:hAnsi="宋体"/>
          <w:sz w:val="24"/>
          <w:szCs w:val="24"/>
        </w:rPr>
        <w:t>建筑与建筑群综合布线系统施工及验收规范</w:t>
      </w:r>
      <w:r w:rsidRPr="00891681">
        <w:rPr>
          <w:rFonts w:ascii="宋体" w:eastAsia="宋体" w:hAnsi="宋体" w:hint="eastAsia"/>
          <w:sz w:val="24"/>
          <w:szCs w:val="24"/>
        </w:rPr>
        <w:t>》</w:t>
      </w:r>
    </w:p>
    <w:p w14:paraId="23434759" w14:textId="77777777" w:rsidR="00891681" w:rsidRPr="00891681" w:rsidRDefault="00891681" w:rsidP="00891681">
      <w:pPr>
        <w:ind w:firstLineChars="0" w:firstLine="0"/>
        <w:rPr>
          <w:rFonts w:ascii="宋体" w:eastAsia="宋体" w:hAnsi="宋体"/>
          <w:sz w:val="24"/>
          <w:szCs w:val="24"/>
        </w:rPr>
      </w:pPr>
      <w:r w:rsidRPr="00891681">
        <w:rPr>
          <w:rFonts w:ascii="宋体" w:eastAsia="宋体" w:hAnsi="宋体"/>
          <w:sz w:val="24"/>
          <w:szCs w:val="24"/>
        </w:rPr>
        <w:t>8. YD/T 2008-93</w:t>
      </w:r>
      <w:r w:rsidRPr="00891681">
        <w:rPr>
          <w:rFonts w:ascii="宋体" w:eastAsia="宋体" w:hAnsi="宋体" w:hint="eastAsia"/>
          <w:sz w:val="24"/>
          <w:szCs w:val="24"/>
        </w:rPr>
        <w:t>《</w:t>
      </w:r>
      <w:r w:rsidRPr="00891681">
        <w:rPr>
          <w:rFonts w:ascii="宋体" w:eastAsia="宋体" w:hAnsi="宋体"/>
          <w:sz w:val="24"/>
          <w:szCs w:val="24"/>
        </w:rPr>
        <w:t>城市住宅和办公楼电话通信设施设计标准</w:t>
      </w:r>
      <w:r w:rsidRPr="00891681">
        <w:rPr>
          <w:rFonts w:ascii="宋体" w:eastAsia="宋体" w:hAnsi="宋体" w:hint="eastAsia"/>
          <w:sz w:val="24"/>
          <w:szCs w:val="24"/>
        </w:rPr>
        <w:t>》</w:t>
      </w:r>
    </w:p>
    <w:p w14:paraId="3CE0A9A9" w14:textId="49B6B29C" w:rsidR="00FC3B68" w:rsidRPr="00891681" w:rsidRDefault="00891681" w:rsidP="00891681">
      <w:pPr>
        <w:ind w:firstLineChars="0" w:firstLine="0"/>
        <w:rPr>
          <w:rFonts w:ascii="宋体" w:eastAsia="宋体" w:hAnsi="宋体" w:hint="eastAsia"/>
          <w:sz w:val="24"/>
          <w:szCs w:val="24"/>
        </w:rPr>
      </w:pPr>
      <w:r w:rsidRPr="00891681">
        <w:rPr>
          <w:rFonts w:ascii="宋体" w:eastAsia="宋体" w:hAnsi="宋体"/>
          <w:sz w:val="24"/>
          <w:szCs w:val="24"/>
        </w:rPr>
        <w:t>9. YDJ26-89中华人民共和国邮电部标准</w:t>
      </w:r>
      <w:r w:rsidRPr="00891681">
        <w:rPr>
          <w:rFonts w:ascii="宋体" w:eastAsia="宋体" w:hAnsi="宋体" w:hint="eastAsia"/>
          <w:sz w:val="24"/>
          <w:szCs w:val="24"/>
        </w:rPr>
        <w:t>《</w:t>
      </w:r>
      <w:r w:rsidRPr="00891681">
        <w:rPr>
          <w:rFonts w:ascii="宋体" w:eastAsia="宋体" w:hAnsi="宋体"/>
          <w:sz w:val="24"/>
          <w:szCs w:val="24"/>
        </w:rPr>
        <w:t>通信局(站)接地设计暂</w:t>
      </w:r>
      <w:r w:rsidRPr="00891681">
        <w:rPr>
          <w:rFonts w:ascii="宋体" w:eastAsia="宋体" w:hAnsi="宋体" w:hint="eastAsia"/>
          <w:sz w:val="24"/>
          <w:szCs w:val="24"/>
        </w:rPr>
        <w:t>行技术规定</w:t>
      </w:r>
      <w:r w:rsidRPr="00891681">
        <w:rPr>
          <w:rFonts w:ascii="宋体" w:eastAsia="宋体" w:hAnsi="宋体" w:hint="eastAsia"/>
          <w:sz w:val="24"/>
          <w:szCs w:val="24"/>
        </w:rPr>
        <w:t>》</w:t>
      </w:r>
      <w:r w:rsidRPr="00891681">
        <w:rPr>
          <w:rFonts w:ascii="宋体" w:eastAsia="宋体" w:hAnsi="宋体"/>
          <w:sz w:val="24"/>
          <w:szCs w:val="24"/>
        </w:rPr>
        <w:t>(综合楼部分)</w:t>
      </w:r>
    </w:p>
    <w:sectPr w:rsidR="00FC3B68" w:rsidRPr="00891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dobe 楷体 Std R">
    <w:panose1 w:val="02020400000000000000"/>
    <w:charset w:val="86"/>
    <w:family w:val="roman"/>
    <w:notTrueType/>
    <w:pitch w:val="variable"/>
    <w:sig w:usb0="00000207" w:usb1="0A0F1810" w:usb2="00000016" w:usb3="00000000" w:csb0="00060007"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F7"/>
    <w:rsid w:val="00041CDA"/>
    <w:rsid w:val="00047D33"/>
    <w:rsid w:val="003027CA"/>
    <w:rsid w:val="00724062"/>
    <w:rsid w:val="00891681"/>
    <w:rsid w:val="00981FEA"/>
    <w:rsid w:val="00A121E4"/>
    <w:rsid w:val="00A93185"/>
    <w:rsid w:val="00D56CF7"/>
    <w:rsid w:val="00ED0146"/>
    <w:rsid w:val="00ED45DD"/>
    <w:rsid w:val="00F032A4"/>
    <w:rsid w:val="00F81A64"/>
    <w:rsid w:val="00FC3B68"/>
    <w:rsid w:val="00FF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34A5"/>
  <w15:chartTrackingRefBased/>
  <w15:docId w15:val="{71B327A1-7AF1-4AA3-A829-0F8BF99E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146"/>
    <w:pPr>
      <w:widowControl w:val="0"/>
      <w:ind w:firstLineChars="200" w:firstLine="200"/>
    </w:pPr>
  </w:style>
  <w:style w:type="paragraph" w:styleId="1">
    <w:name w:val="heading 1"/>
    <w:basedOn w:val="a"/>
    <w:next w:val="a"/>
    <w:link w:val="10"/>
    <w:autoRedefine/>
    <w:uiPriority w:val="9"/>
    <w:qFormat/>
    <w:rsid w:val="003027CA"/>
    <w:pPr>
      <w:keepNext/>
      <w:keepLines/>
      <w:spacing w:before="100" w:beforeAutospacing="1"/>
      <w:jc w:val="center"/>
      <w:outlineLvl w:val="0"/>
    </w:pPr>
    <w:rPr>
      <w:b/>
      <w:bCs/>
      <w:kern w:val="44"/>
      <w:sz w:val="30"/>
      <w:szCs w:val="44"/>
    </w:rPr>
  </w:style>
  <w:style w:type="paragraph" w:styleId="2">
    <w:name w:val="heading 2"/>
    <w:basedOn w:val="a"/>
    <w:next w:val="a"/>
    <w:link w:val="20"/>
    <w:autoRedefine/>
    <w:uiPriority w:val="9"/>
    <w:unhideWhenUsed/>
    <w:rsid w:val="003027CA"/>
    <w:pPr>
      <w:keepNext/>
      <w:keepLines/>
      <w:outlineLvl w:val="1"/>
    </w:pPr>
    <w:rPr>
      <w:rFonts w:asciiTheme="majorHAnsi" w:hAnsiTheme="majorHAnsi" w:cstheme="majorBidi"/>
      <w:b/>
      <w:bCs/>
      <w:sz w:val="32"/>
      <w:szCs w:val="32"/>
    </w:rPr>
  </w:style>
  <w:style w:type="paragraph" w:styleId="3">
    <w:name w:val="heading 3"/>
    <w:basedOn w:val="a"/>
    <w:next w:val="a"/>
    <w:link w:val="30"/>
    <w:autoRedefine/>
    <w:uiPriority w:val="9"/>
    <w:unhideWhenUsed/>
    <w:qFormat/>
    <w:rsid w:val="00A93185"/>
    <w:pPr>
      <w:keepNext/>
      <w:keepLines/>
      <w:ind w:firstLineChars="0" w:firstLine="0"/>
      <w:outlineLvl w:val="2"/>
    </w:pPr>
    <w:rPr>
      <w:b/>
      <w:bCs/>
      <w:sz w:val="28"/>
      <w:szCs w:val="32"/>
    </w:rPr>
  </w:style>
  <w:style w:type="paragraph" w:styleId="4">
    <w:name w:val="heading 4"/>
    <w:basedOn w:val="a"/>
    <w:next w:val="a"/>
    <w:link w:val="40"/>
    <w:autoRedefine/>
    <w:uiPriority w:val="9"/>
    <w:unhideWhenUsed/>
    <w:qFormat/>
    <w:rsid w:val="00A93185"/>
    <w:pPr>
      <w:keepNext/>
      <w:keepLines/>
      <w:spacing w:before="120" w:after="120"/>
      <w:ind w:firstLineChars="0" w:firstLine="0"/>
      <w:outlineLvl w:val="3"/>
    </w:pPr>
    <w:rPr>
      <w:rFonts w:asciiTheme="majorHAnsi" w:hAnsiTheme="majorHAnsi" w:cstheme="majorBidi"/>
      <w:b/>
      <w:bCs/>
      <w:szCs w:val="28"/>
    </w:rPr>
  </w:style>
  <w:style w:type="paragraph" w:styleId="5">
    <w:name w:val="heading 5"/>
    <w:basedOn w:val="a"/>
    <w:next w:val="a"/>
    <w:link w:val="50"/>
    <w:uiPriority w:val="9"/>
    <w:unhideWhenUsed/>
    <w:qFormat/>
    <w:rsid w:val="003027C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7CA"/>
    <w:rPr>
      <w:rFonts w:eastAsia="Adobe 楷体 Std R"/>
      <w:b/>
      <w:bCs/>
      <w:kern w:val="44"/>
      <w:sz w:val="30"/>
      <w:szCs w:val="44"/>
    </w:rPr>
  </w:style>
  <w:style w:type="character" w:customStyle="1" w:styleId="20">
    <w:name w:val="标题 2 字符"/>
    <w:basedOn w:val="a0"/>
    <w:link w:val="2"/>
    <w:uiPriority w:val="9"/>
    <w:rsid w:val="003027CA"/>
    <w:rPr>
      <w:rFonts w:asciiTheme="majorHAnsi" w:eastAsia="Adobe 楷体 Std R" w:hAnsiTheme="majorHAnsi" w:cstheme="majorBidi"/>
      <w:b/>
      <w:bCs/>
      <w:sz w:val="32"/>
      <w:szCs w:val="32"/>
    </w:rPr>
  </w:style>
  <w:style w:type="character" w:customStyle="1" w:styleId="30">
    <w:name w:val="标题 3 字符"/>
    <w:basedOn w:val="a0"/>
    <w:link w:val="3"/>
    <w:uiPriority w:val="9"/>
    <w:rsid w:val="00A93185"/>
    <w:rPr>
      <w:rFonts w:eastAsia="Adobe 楷体 Std R"/>
      <w:b/>
      <w:bCs/>
      <w:sz w:val="28"/>
      <w:szCs w:val="32"/>
    </w:rPr>
  </w:style>
  <w:style w:type="paragraph" w:styleId="a3">
    <w:name w:val="Title"/>
    <w:basedOn w:val="a"/>
    <w:next w:val="a"/>
    <w:link w:val="a4"/>
    <w:autoRedefine/>
    <w:uiPriority w:val="10"/>
    <w:rsid w:val="003027CA"/>
    <w:pPr>
      <w:spacing w:before="240" w:after="60"/>
      <w:jc w:val="center"/>
      <w:outlineLvl w:val="0"/>
    </w:pPr>
    <w:rPr>
      <w:rFonts w:asciiTheme="majorHAnsi" w:eastAsia="方正小标宋_GBK" w:hAnsiTheme="majorHAnsi" w:cstheme="majorBidi"/>
      <w:b/>
      <w:bCs/>
      <w:spacing w:val="200"/>
      <w:sz w:val="44"/>
      <w:szCs w:val="32"/>
    </w:rPr>
  </w:style>
  <w:style w:type="character" w:customStyle="1" w:styleId="a4">
    <w:name w:val="标题 字符"/>
    <w:basedOn w:val="a0"/>
    <w:link w:val="a3"/>
    <w:uiPriority w:val="10"/>
    <w:rsid w:val="003027CA"/>
    <w:rPr>
      <w:rFonts w:asciiTheme="majorHAnsi" w:eastAsia="方正小标宋_GBK" w:hAnsiTheme="majorHAnsi" w:cstheme="majorBidi"/>
      <w:b/>
      <w:bCs/>
      <w:spacing w:val="200"/>
      <w:sz w:val="44"/>
      <w:szCs w:val="32"/>
    </w:rPr>
  </w:style>
  <w:style w:type="character" w:customStyle="1" w:styleId="40">
    <w:name w:val="标题 4 字符"/>
    <w:basedOn w:val="a0"/>
    <w:link w:val="4"/>
    <w:uiPriority w:val="9"/>
    <w:rsid w:val="00A93185"/>
    <w:rPr>
      <w:rFonts w:asciiTheme="majorHAnsi" w:eastAsia="Adobe 楷体 Std R" w:hAnsiTheme="majorHAnsi" w:cstheme="majorBidi"/>
      <w:b/>
      <w:bCs/>
      <w:sz w:val="24"/>
      <w:szCs w:val="28"/>
    </w:rPr>
  </w:style>
  <w:style w:type="character" w:customStyle="1" w:styleId="50">
    <w:name w:val="标题 5 字符"/>
    <w:basedOn w:val="a0"/>
    <w:link w:val="5"/>
    <w:uiPriority w:val="9"/>
    <w:rsid w:val="003027CA"/>
    <w:rPr>
      <w:rFonts w:eastAsia="Adobe 楷体 Std 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2022-03-10T04:16:00Z</dcterms:created>
  <dcterms:modified xsi:type="dcterms:W3CDTF">2022-03-10T04:23:00Z</dcterms:modified>
</cp:coreProperties>
</file>