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>重生—和平里七区27号楼保护性更新改造</w:t>
      </w:r>
      <w:r>
        <w:rPr>
          <w:u w:val="single"/>
          <w:lang w:eastAsia="zh-CN"/>
        </w:rPr>
        <w:t xml:space="preserve">      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  </w:t>
      </w:r>
      <w:r>
        <w:rPr>
          <w:rFonts w:hint="eastAsia"/>
          <w:spacing w:val="4"/>
          <w:u w:val="single"/>
          <w:lang w:val="en-US" w:eastAsia="zh-CN"/>
        </w:rPr>
        <w:t>和平里街道</w:t>
      </w:r>
      <w:r>
        <w:rPr>
          <w:spacing w:val="4"/>
          <w:u w:val="single"/>
          <w:lang w:eastAsia="zh-CN"/>
        </w:rPr>
        <w:t xml:space="preserve">       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rFonts w:hint="eastAsia"/>
        </w:rPr>
        <w:t>5000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rFonts w:hint="eastAsia"/>
        </w:rPr>
        <w:t>2511.6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hint="eastAsia"/>
        </w:rPr>
        <w:t>70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rFonts w:hint="eastAsia" w:ascii="Calibri" w:hAnsi="Calibri" w:eastAsia="Calibri" w:cs="Calibri"/>
          <w:spacing w:val="31"/>
          <w:u w:val="single" w:color="000000"/>
          <w:lang w:val="en-US" w:eastAsia="zh-CN"/>
        </w:rPr>
        <w:t>170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 </w:t>
      </w:r>
      <w:r>
        <w:rPr>
          <w:rFonts w:hint="eastAsia"/>
        </w:rPr>
        <w:t>2511.6</w:t>
      </w:r>
      <w:r>
        <w:rPr>
          <w:rFonts w:ascii="Calibri" w:hAnsi="Calibri" w:eastAsia="Calibri" w:cs="Calibri"/>
          <w:u w:val="single"/>
          <w:lang w:eastAsia="zh-CN"/>
        </w:rPr>
        <w:t xml:space="preserve">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</w:t>
      </w:r>
      <w:r>
        <w:rPr>
          <w:rFonts w:hint="eastAsia" w:cs="宋体"/>
          <w:bCs/>
          <w:u w:val="single"/>
          <w:lang w:val="en-US" w:eastAsia="zh-CN"/>
        </w:rPr>
        <w:t>60</w:t>
      </w:r>
      <w:r>
        <w:rPr>
          <w:rFonts w:cs="宋体"/>
          <w:bCs/>
          <w:u w:val="single"/>
          <w:lang w:eastAsia="zh-CN"/>
        </w:rPr>
        <w:t xml:space="preserve">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120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</w:t>
      </w:r>
      <w:r>
        <w:rPr>
          <w:rFonts w:hint="eastAsia"/>
          <w:b w:val="0"/>
          <w:w w:val="95"/>
          <w:u w:val="single"/>
          <w:lang w:val="en-US" w:eastAsia="zh-CN"/>
        </w:rPr>
        <w:t>125路  夜6路</w:t>
      </w:r>
      <w:r>
        <w:rPr>
          <w:b w:val="0"/>
          <w:w w:val="95"/>
          <w:u w:val="single"/>
          <w:lang w:eastAsia="zh-CN"/>
        </w:rPr>
        <w:t xml:space="preserve">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</w:t>
      </w:r>
      <w:r>
        <w:rPr>
          <w:rFonts w:hint="eastAsia"/>
          <w:b w:val="0"/>
          <w:w w:val="95"/>
          <w:u w:val="single"/>
          <w:lang w:val="en-US" w:eastAsia="zh-CN"/>
        </w:rPr>
        <w:t>125路 夜6路</w:t>
      </w:r>
      <w:r>
        <w:rPr>
          <w:b w:val="0"/>
          <w:w w:val="95"/>
          <w:u w:val="single"/>
          <w:lang w:eastAsia="zh-CN"/>
        </w:rPr>
        <w:t xml:space="preserve">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drawing>
          <wp:inline distT="0" distB="0" distL="114300" distR="114300">
            <wp:extent cx="4198620" cy="588264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58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</w:t>
      </w:r>
      <w:r>
        <w:rPr>
          <w:rFonts w:hint="eastAsia" w:cs="宋体"/>
          <w:bCs/>
          <w:u w:val="single"/>
          <w:lang w:val="en-US" w:eastAsia="zh-CN"/>
        </w:rPr>
        <w:t>200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</w:t>
      </w:r>
      <w:r>
        <w:rPr>
          <w:rFonts w:hint="eastAsia" w:cs="宋体"/>
          <w:bCs/>
          <w:u w:val="single"/>
          <w:lang w:val="en-US" w:eastAsia="zh-CN"/>
        </w:rPr>
        <w:t xml:space="preserve"> 290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177165</wp:posOffset>
            </wp:positionV>
            <wp:extent cx="5424805" cy="3642995"/>
            <wp:effectExtent l="0" t="0" r="635" b="1460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  <w:r>
        <w:rPr>
          <w:rFonts w:hint="eastAsia"/>
          <w:b/>
          <w:bCs/>
          <w:lang w:eastAsia="zh-CN"/>
        </w:rPr>
        <w:t>本项目</w:t>
      </w:r>
      <w:r>
        <w:rPr>
          <w:b/>
          <w:bCs/>
          <w:lang w:eastAsia="zh-CN"/>
        </w:rPr>
        <w:t>为</w:t>
      </w:r>
      <w:r>
        <w:rPr>
          <w:rFonts w:hint="eastAsia"/>
          <w:b/>
          <w:bCs/>
          <w:lang w:eastAsia="zh-CN"/>
        </w:rPr>
        <w:t>住宅建筑</w:t>
      </w:r>
      <w:r>
        <w:rPr>
          <w:b/>
          <w:bCs/>
          <w:lang w:eastAsia="zh-CN"/>
        </w:rPr>
        <w:t>，</w:t>
      </w:r>
      <w:r>
        <w:rPr>
          <w:rFonts w:hint="eastAsia"/>
          <w:b/>
          <w:bCs/>
          <w:lang w:eastAsia="zh-CN"/>
        </w:rPr>
        <w:t>满足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   ：</w:t>
      </w:r>
    </w:p>
    <w:p>
      <w:pP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   提供便利的公共服务，评价总分值为10分，并按下列规则评分：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1   住宅建筑，满足下列要求中4项，得5分；满足6项及以上，得10分。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rPr>
          <w:rFonts w:ascii="宋体" w:hAnsi="宋体" w:eastAsia="宋体" w:cs="宋体"/>
          <w:b/>
          <w:bCs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  <w:lang w:eastAsia="zh-CN"/>
        </w:rPr>
        <w:t>5)   场地出入口到达群众文化活动设施的步行距离不大于800m；</w:t>
      </w:r>
    </w:p>
    <w:p>
      <w:pPr>
        <w:rPr>
          <w:rFonts w:ascii="宋体" w:hAnsi="宋体" w:eastAsia="宋体" w:cs="宋体"/>
          <w:b/>
          <w:bCs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  <w:lang w:eastAsia="zh-CN"/>
        </w:rPr>
        <w:t>7)   场地周边500m范围内具有不少于3种商业服务设施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pStyle w:val="4"/>
        <w:ind w:left="338"/>
        <w:rPr>
          <w:rFonts w:hint="eastAsia"/>
          <w:b/>
          <w:bCs/>
          <w:lang w:eastAsia="zh-CN"/>
        </w:rPr>
      </w:pPr>
      <w:r>
        <w:rPr>
          <w:b/>
          <w:bCs/>
          <w:lang w:eastAsia="zh-CN"/>
        </w:rPr>
        <w:t>，可得</w:t>
      </w:r>
      <w:r>
        <w:rPr>
          <w:rFonts w:hint="eastAsia"/>
          <w:b/>
          <w:bCs/>
          <w:lang w:val="en-US" w:eastAsia="zh-CN"/>
        </w:rPr>
        <w:t>5</w:t>
      </w:r>
      <w:bookmarkStart w:id="0" w:name="_GoBack"/>
      <w:bookmarkEnd w:id="0"/>
      <w:r>
        <w:rPr>
          <w:b/>
          <w:bCs/>
          <w:lang w:eastAsia="zh-CN"/>
        </w:rPr>
        <w:t>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4BA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1</TotalTime>
  <ScaleCrop>false</ScaleCrop>
  <LinksUpToDate>false</LinksUpToDate>
  <CharactersWithSpaces>1447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七海</cp:lastModifiedBy>
  <dcterms:modified xsi:type="dcterms:W3CDTF">2022-03-02T14:10:22Z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A2FB0956CEE94BADAECC3595255C10E8</vt:lpwstr>
  </property>
</Properties>
</file>