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 </w:t>
      </w:r>
      <w:r>
        <w:rPr>
          <w:rFonts w:ascii="Times New Roman"/>
        </w:rPr>
        <w:t>节约集约利用土地。（总分</w:t>
      </w:r>
      <w:r>
        <w:rPr>
          <w:rFonts w:ascii="Times New Roman" w:hAnsi="Times New Roman"/>
        </w:rPr>
        <w:t>19</w:t>
      </w:r>
      <w:r>
        <w:rPr>
          <w:rFonts w:ascii="Times New Roman"/>
        </w:rPr>
        <w:t>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19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kern w:val="0"/>
        </w:rPr>
      </w:pPr>
      <w:r>
        <w:rPr>
          <w:b/>
          <w:kern w:val="0"/>
        </w:rPr>
        <w:t>1）自评得分</w:t>
      </w:r>
    </w:p>
    <w:p>
      <w:pPr>
        <w:spacing w:line="288" w:lineRule="auto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kern w:val="0"/>
          <w:szCs w:val="21"/>
        </w:rPr>
        <w:t>居住建筑</w:t>
      </w:r>
    </w:p>
    <w:p>
      <w:pPr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76402617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 xml:space="preserve"> 3层及以下、</w:t>
      </w:r>
      <w:sdt>
        <w:sdtPr>
          <w:rPr>
            <w:b/>
            <w:bCs/>
            <w:szCs w:val="21"/>
            <w:lang w:val="zh-CN"/>
          </w:rPr>
          <w:id w:val="-2572337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 xml:space="preserve"> 4~6层、</w:t>
      </w:r>
      <w:sdt>
        <w:sdtPr>
          <w:rPr>
            <w:b/>
            <w:bCs/>
            <w:szCs w:val="21"/>
            <w:lang w:val="zh-CN"/>
          </w:rPr>
          <w:id w:val="168994549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7~12层、</w:t>
      </w:r>
      <w:sdt>
        <w:sdtPr>
          <w:rPr>
            <w:b/>
            <w:bCs/>
            <w:szCs w:val="21"/>
            <w:lang w:val="zh-CN"/>
          </w:rPr>
          <w:id w:val="180049783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13~18层、</w:t>
      </w:r>
      <w:sdt>
        <w:sdtPr>
          <w:rPr>
            <w:b/>
            <w:bCs/>
            <w:szCs w:val="21"/>
            <w:lang w:val="zh-CN"/>
          </w:rPr>
          <w:id w:val="59891170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19层及以上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03"/>
        <w:gridCol w:w="1098"/>
        <w:gridCol w:w="1098"/>
        <w:gridCol w:w="1099"/>
        <w:gridCol w:w="1099"/>
        <w:gridCol w:w="90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71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</w:t>
            </w:r>
          </w:p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自评</w:t>
            </w:r>
          </w:p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3层</w:t>
            </w:r>
          </w:p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及以下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4~6层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7~12层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13~18层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19层</w:t>
            </w:r>
          </w:p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及以上</w:t>
            </w:r>
          </w:p>
        </w:tc>
        <w:tc>
          <w:tcPr>
            <w:tcW w:w="9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bottom w:val="single" w:color="auto" w:sz="4" w:space="0"/>
            </w:tcBorders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21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≤41</w:t>
            </w:r>
          </w:p>
        </w:tc>
        <w:tc>
          <w:tcPr>
            <w:tcW w:w="1098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≤26</w:t>
            </w:r>
          </w:p>
        </w:tc>
        <w:tc>
          <w:tcPr>
            <w:tcW w:w="1098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≤24</w:t>
            </w:r>
          </w:p>
        </w:tc>
        <w:tc>
          <w:tcPr>
            <w:tcW w:w="1099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≤22</w:t>
            </w:r>
          </w:p>
        </w:tc>
        <w:tc>
          <w:tcPr>
            <w:tcW w:w="1099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≤13</w:t>
            </w:r>
          </w:p>
        </w:tc>
        <w:tc>
          <w:tcPr>
            <w:tcW w:w="9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21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≤35</w:t>
            </w:r>
          </w:p>
        </w:tc>
        <w:tc>
          <w:tcPr>
            <w:tcW w:w="1098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≤23</w:t>
            </w:r>
          </w:p>
        </w:tc>
        <w:tc>
          <w:tcPr>
            <w:tcW w:w="1098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≤22</w:t>
            </w:r>
          </w:p>
        </w:tc>
        <w:tc>
          <w:tcPr>
            <w:tcW w:w="1099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≤20</w:t>
            </w:r>
          </w:p>
        </w:tc>
        <w:tc>
          <w:tcPr>
            <w:tcW w:w="1099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≤11</w:t>
            </w:r>
          </w:p>
        </w:tc>
        <w:tc>
          <w:tcPr>
            <w:tcW w:w="9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90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szCs w:val="21"/>
          <w:lang w:val="zh-CN"/>
        </w:rPr>
      </w:pP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-117757330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kern w:val="0"/>
        </w:rPr>
        <w:t>公共建筑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405"/>
        <w:gridCol w:w="210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9" w:type="dxa"/>
            <w:gridSpan w:val="2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2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评价分值</w:t>
            </w:r>
          </w:p>
        </w:tc>
        <w:tc>
          <w:tcPr>
            <w:tcW w:w="1800" w:type="dxa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容积率R</w:t>
            </w:r>
          </w:p>
        </w:tc>
        <w:tc>
          <w:tcPr>
            <w:tcW w:w="34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＜0.8</w:t>
            </w:r>
          </w:p>
        </w:tc>
        <w:tc>
          <w:tcPr>
            <w:tcW w:w="2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＜1.5</w:t>
            </w:r>
          </w:p>
        </w:tc>
        <w:tc>
          <w:tcPr>
            <w:tcW w:w="2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800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＜3.5</w:t>
            </w:r>
          </w:p>
        </w:tc>
        <w:tc>
          <w:tcPr>
            <w:tcW w:w="2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800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≥3.5</w:t>
            </w:r>
          </w:p>
        </w:tc>
        <w:tc>
          <w:tcPr>
            <w:tcW w:w="210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800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eastAsia="仿宋_GB2312"/>
          <w:sz w:val="24"/>
          <w:szCs w:val="30"/>
        </w:rPr>
      </w:pPr>
    </w:p>
    <w:p>
      <w:pPr>
        <w:spacing w:line="288" w:lineRule="auto"/>
        <w:rPr>
          <w:b/>
          <w:kern w:val="0"/>
        </w:rPr>
      </w:pPr>
      <w:r>
        <w:rPr>
          <w:b/>
          <w:kern w:val="0"/>
        </w:rPr>
        <w:t>2</w:t>
      </w:r>
      <w:r>
        <w:rPr>
          <w:b/>
          <w:szCs w:val="21"/>
          <w:lang w:val="zh-CN"/>
        </w:rPr>
        <w:t>）</w:t>
      </w:r>
      <w:r>
        <w:rPr>
          <w:b/>
          <w:kern w:val="0"/>
        </w:rPr>
        <w:t>评价要点</w:t>
      </w:r>
    </w:p>
    <w:p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4271594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b/>
          <w:szCs w:val="21"/>
          <w:lang w:val="zh-CN"/>
        </w:rPr>
        <w:t>居住建筑</w:t>
      </w:r>
    </w:p>
    <w:p>
      <w:pPr>
        <w:spacing w:line="288" w:lineRule="auto"/>
        <w:rPr>
          <w:szCs w:val="21"/>
          <w:lang w:val="zh-CN"/>
        </w:rPr>
      </w:pPr>
      <w:r>
        <w:rPr>
          <w:rFonts w:hAnsi="宋体"/>
          <w:szCs w:val="21"/>
          <w:lang w:val="zh-CN"/>
        </w:rPr>
        <w:t>住宅层数：</w:t>
      </w:r>
      <w:sdt>
        <w:sdtPr>
          <w:rPr>
            <w:b/>
            <w:bCs/>
            <w:szCs w:val="21"/>
            <w:lang w:val="zh-CN"/>
          </w:rPr>
          <w:id w:val="127112347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低层、</w:t>
      </w:r>
      <w:sdt>
        <w:sdtPr>
          <w:rPr>
            <w:b/>
            <w:bCs/>
            <w:szCs w:val="21"/>
            <w:lang w:val="zh-CN"/>
          </w:rPr>
          <w:id w:val="4514450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多层、</w:t>
      </w:r>
      <w:sdt>
        <w:sdtPr>
          <w:rPr>
            <w:b/>
            <w:bCs/>
            <w:szCs w:val="21"/>
            <w:lang w:val="zh-CN"/>
          </w:rPr>
          <w:id w:val="135530878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中高层、</w:t>
      </w:r>
      <w:sdt>
        <w:sdtPr>
          <w:rPr>
            <w:b/>
            <w:bCs/>
            <w:szCs w:val="21"/>
            <w:lang w:val="zh-CN"/>
          </w:rPr>
          <w:id w:val="-58662014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szCs w:val="21"/>
          <w:lang w:val="zh-CN"/>
        </w:rPr>
        <w:t>高层，建筑高度：</w:t>
      </w:r>
      <w:r>
        <w:rPr>
          <w:rFonts w:hint="eastAsia" w:hAnsi="宋体"/>
          <w:szCs w:val="21"/>
          <w:lang w:val="zh-CN"/>
        </w:rPr>
        <w:t>m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住区用地面积：m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居住人口：人</w:t>
      </w:r>
      <w:r>
        <w:rPr>
          <w:szCs w:val="21"/>
        </w:rPr>
        <w:t>；</w:t>
      </w:r>
      <w:r>
        <w:rPr>
          <w:szCs w:val="21"/>
          <w:lang w:val="zh-CN"/>
        </w:rPr>
        <w:t>人均居住用地指标：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/人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-19042896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Ansi="宋体"/>
          <w:b/>
          <w:szCs w:val="21"/>
          <w:lang w:val="zh-CN"/>
        </w:rPr>
        <w:t>公共建筑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规划用地面积： 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bCs/>
          <w:szCs w:val="21"/>
          <w:u w:val="single"/>
        </w:rPr>
      </w:pPr>
      <w:r>
        <w:rPr>
          <w:rFonts w:hint="eastAsia"/>
          <w:szCs w:val="21"/>
          <w:lang w:val="zh-CN"/>
        </w:rPr>
        <w:t>计容</w:t>
      </w:r>
      <w:r>
        <w:rPr>
          <w:szCs w:val="21"/>
          <w:lang w:val="zh-CN"/>
        </w:rPr>
        <w:t>总建筑面积：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</w:t>
      </w:r>
      <w:r>
        <w:rPr>
          <w:bCs/>
          <w:szCs w:val="21"/>
        </w:rPr>
        <w:t>容积率：</w:t>
      </w:r>
    </w:p>
    <w:p>
      <w:pPr>
        <w:spacing w:line="288" w:lineRule="auto"/>
        <w:rPr>
          <w:szCs w:val="21"/>
          <w:u w:val="single"/>
          <w:lang w:val="zh-CN"/>
        </w:rPr>
      </w:pPr>
    </w:p>
    <w:p>
      <w:pPr>
        <w:spacing w:line="288" w:lineRule="auto"/>
        <w:rPr>
          <w:b/>
          <w:kern w:val="0"/>
        </w:rPr>
      </w:pPr>
      <w:r>
        <w:rPr>
          <w:b/>
          <w:kern w:val="0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spacing w:line="288" w:lineRule="auto"/>
        <w:rPr>
          <w:szCs w:val="21"/>
        </w:rPr>
      </w:pPr>
      <w:r>
        <w:rPr>
          <w:szCs w:val="21"/>
        </w:rPr>
        <w:t>1、规划现状图：应包括红线范围、竖向标高、原有地物等。若地块中或其周边还涉及文保单位、水体等，地块现状图中还需包含紫线、蓝线与绿线；</w:t>
      </w:r>
    </w:p>
    <w:p>
      <w:pPr>
        <w:spacing w:line="288" w:lineRule="auto"/>
        <w:rPr>
          <w:szCs w:val="21"/>
        </w:rPr>
      </w:pPr>
      <w:r>
        <w:rPr>
          <w:szCs w:val="21"/>
        </w:rPr>
        <w:t>2、总平面图：应包含规划用地面积、总建筑面积、容积率等技术经济指标。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3、</w:t>
      </w:r>
      <w:r>
        <w:rPr>
          <w:szCs w:val="21"/>
        </w:rPr>
        <w:t>人均居住用地指标计算书：应包括人均居住用地指标计算过程。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>
      <w:pPr>
        <w:spacing w:line="288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F7"/>
    <w:rsid w:val="00010CB9"/>
    <w:rsid w:val="002D330A"/>
    <w:rsid w:val="003C442B"/>
    <w:rsid w:val="007915A6"/>
    <w:rsid w:val="009D6262"/>
    <w:rsid w:val="00A545F7"/>
    <w:rsid w:val="00B64642"/>
    <w:rsid w:val="56D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497</Characters>
  <Lines>4</Lines>
  <Paragraphs>1</Paragraphs>
  <TotalTime>1</TotalTime>
  <ScaleCrop>false</ScaleCrop>
  <LinksUpToDate>false</LinksUpToDate>
  <CharactersWithSpaces>507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2019-10-18T06:24:00Z</dcterms:created>
  <dc:creator>dongYP</dc:creator>
  <cp:lastModifiedBy>陈辉</cp:lastModifiedBy>
  <dcterms:modified xsi:type="dcterms:W3CDTF">2022-03-11T06:43:03Z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E067FC31FA9E4FA5BFDA6B8B2B5717CD</vt:lpwstr>
  </property>
</Properties>
</file>