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5.2.13 充分利用场地空间合理设置绿色雨水基础设施，对大于10hm</w:t>
      </w:r>
      <w:r>
        <w:rPr>
          <w:rFonts w:ascii="Times New Roman" w:hAnsi="Times New Roman"/>
          <w:vertAlign w:val="superscript"/>
        </w:rPr>
        <w:t>2</w:t>
      </w:r>
      <w:r>
        <w:rPr>
          <w:rFonts w:ascii="Times New Roman" w:hAnsi="Times New Roman"/>
        </w:rPr>
        <w:t>的场地进行雨水专项规划设计。（总分9分）</w:t>
      </w:r>
    </w:p>
    <w:p>
      <w:pPr>
        <w:pStyle w:val="10"/>
        <w:spacing w:after="156" w:afterLines="50"/>
        <w:ind w:firstLine="0" w:firstLineChars="0"/>
        <w:jc w:val="left"/>
        <w:rPr>
          <w:b/>
          <w:bCs/>
          <w:lang w:val="zh-CN"/>
        </w:rPr>
      </w:pPr>
      <w:r>
        <w:rPr>
          <w:b/>
          <w:bCs/>
          <w:lang w:val="zh-CN"/>
        </w:rPr>
        <w:t>本条得分：</w:t>
      </w:r>
      <w:r>
        <w:rPr>
          <w:b/>
          <w:bCs/>
          <w:u w:val="single"/>
        </w:rPr>
        <w:t xml:space="preserve">  </w:t>
      </w:r>
      <w:r>
        <w:rPr>
          <w:b/>
          <w:bCs/>
          <w:lang w:val="zh-CN"/>
        </w:rPr>
        <w:t>；</w:t>
      </w:r>
    </w:p>
    <w:p>
      <w:pPr>
        <w:pStyle w:val="10"/>
        <w:spacing w:after="156" w:afterLines="50"/>
        <w:ind w:firstLine="0" w:firstLineChars="0"/>
        <w:jc w:val="left"/>
        <w:rPr>
          <w:b/>
          <w:bCs/>
          <w:lang w:val="zh-CN"/>
        </w:rPr>
      </w:pPr>
    </w:p>
    <w:p>
      <w:pPr>
        <w:pStyle w:val="10"/>
        <w:spacing w:line="288" w:lineRule="auto"/>
        <w:ind w:firstLine="0" w:firstLineChars="0"/>
        <w:rPr>
          <w:b/>
          <w:bCs/>
          <w:lang w:val="zh-CN"/>
        </w:rPr>
      </w:pPr>
      <w:r>
        <w:rPr>
          <w:b/>
          <w:bCs/>
          <w:lang w:val="zh-CN"/>
        </w:rPr>
        <w:t>1）自评得分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06"/>
        <w:gridCol w:w="1183"/>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288" w:lineRule="auto"/>
              <w:jc w:val="center"/>
              <w:rPr>
                <w:b/>
                <w:bCs/>
                <w:lang w:val="zh-CN"/>
              </w:rPr>
            </w:pPr>
            <w:r>
              <w:rPr>
                <w:rFonts w:hint="eastAsia"/>
                <w:b/>
                <w:bCs/>
                <w:lang w:val="zh-CN"/>
              </w:rPr>
              <w:t>序号</w:t>
            </w:r>
          </w:p>
        </w:tc>
        <w:tc>
          <w:tcPr>
            <w:tcW w:w="5306" w:type="dxa"/>
          </w:tcPr>
          <w:p>
            <w:pPr>
              <w:spacing w:line="288" w:lineRule="auto"/>
              <w:jc w:val="center"/>
              <w:rPr>
                <w:b/>
                <w:bCs/>
                <w:lang w:val="zh-CN"/>
              </w:rPr>
            </w:pPr>
            <w:r>
              <w:rPr>
                <w:b/>
                <w:bCs/>
                <w:lang w:val="zh-CN"/>
              </w:rPr>
              <w:t>评价内容</w:t>
            </w:r>
          </w:p>
        </w:tc>
        <w:tc>
          <w:tcPr>
            <w:tcW w:w="1183" w:type="dxa"/>
          </w:tcPr>
          <w:p>
            <w:pPr>
              <w:spacing w:line="288" w:lineRule="auto"/>
              <w:jc w:val="center"/>
              <w:rPr>
                <w:b/>
                <w:bCs/>
                <w:lang w:val="zh-CN"/>
              </w:rPr>
            </w:pPr>
            <w:r>
              <w:rPr>
                <w:b/>
                <w:bCs/>
                <w:lang w:val="zh-CN"/>
              </w:rPr>
              <w:t>评价分值</w:t>
            </w:r>
          </w:p>
        </w:tc>
        <w:tc>
          <w:tcPr>
            <w:tcW w:w="1074" w:type="dxa"/>
          </w:tcPr>
          <w:p>
            <w:pPr>
              <w:spacing w:line="288" w:lineRule="auto"/>
              <w:jc w:val="center"/>
              <w:rPr>
                <w:b/>
                <w:bCs/>
                <w:lang w:val="zh-CN"/>
              </w:rPr>
            </w:pPr>
            <w:r>
              <w:rPr>
                <w:b/>
                <w:bCs/>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288" w:lineRule="auto"/>
              <w:jc w:val="center"/>
              <w:rPr>
                <w:kern w:val="0"/>
              </w:rPr>
            </w:pPr>
            <w:r>
              <w:rPr>
                <w:rFonts w:hint="eastAsia"/>
                <w:kern w:val="0"/>
              </w:rPr>
              <w:t>1</w:t>
            </w:r>
          </w:p>
        </w:tc>
        <w:tc>
          <w:tcPr>
            <w:tcW w:w="5306" w:type="dxa"/>
            <w:vAlign w:val="center"/>
          </w:tcPr>
          <w:p>
            <w:pPr>
              <w:spacing w:line="288" w:lineRule="auto"/>
              <w:jc w:val="left"/>
              <w:rPr>
                <w:kern w:val="0"/>
              </w:rPr>
            </w:pPr>
            <w:r>
              <w:rPr>
                <w:kern w:val="0"/>
              </w:rPr>
              <w:t>下凹式绿地、雨水花园等有调蓄雨水功能的绿地和水体的面积之和占绿地面积的比例达到30%。</w:t>
            </w:r>
          </w:p>
        </w:tc>
        <w:tc>
          <w:tcPr>
            <w:tcW w:w="1183" w:type="dxa"/>
            <w:vAlign w:val="center"/>
          </w:tcPr>
          <w:p>
            <w:pPr>
              <w:spacing w:line="288" w:lineRule="auto"/>
              <w:jc w:val="center"/>
              <w:rPr>
                <w:bCs/>
                <w:lang w:val="zh-CN"/>
              </w:rPr>
            </w:pPr>
            <w:r>
              <w:rPr>
                <w:bCs/>
                <w:lang w:val="zh-CN"/>
              </w:rPr>
              <w:t>3</w:t>
            </w:r>
          </w:p>
        </w:tc>
        <w:tc>
          <w:tcPr>
            <w:tcW w:w="1074" w:type="dxa"/>
            <w:vAlign w:val="center"/>
          </w:tcPr>
          <w:p>
            <w:pPr>
              <w:spacing w:line="288" w:lineRule="auto"/>
              <w:jc w:val="center"/>
              <w:rPr>
                <w:rFonts w:hint="eastAsia" w:eastAsia="宋体"/>
                <w:b/>
                <w:bCs/>
                <w:lang w:val="en-US" w:eastAsia="zh-CN"/>
              </w:rPr>
            </w:pPr>
            <w:r>
              <w:rPr>
                <w:rFonts w:hint="eastAsia"/>
                <w:b/>
                <w:bCs/>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288" w:lineRule="auto"/>
              <w:jc w:val="center"/>
              <w:rPr>
                <w:kern w:val="0"/>
              </w:rPr>
            </w:pPr>
            <w:r>
              <w:rPr>
                <w:rFonts w:hint="eastAsia"/>
                <w:kern w:val="0"/>
              </w:rPr>
              <w:t>2</w:t>
            </w:r>
          </w:p>
        </w:tc>
        <w:tc>
          <w:tcPr>
            <w:tcW w:w="5306" w:type="dxa"/>
            <w:vAlign w:val="center"/>
          </w:tcPr>
          <w:p>
            <w:pPr>
              <w:spacing w:line="288" w:lineRule="auto"/>
              <w:jc w:val="left"/>
              <w:rPr>
                <w:kern w:val="0"/>
              </w:rPr>
            </w:pPr>
            <w:r>
              <w:rPr>
                <w:kern w:val="0"/>
              </w:rPr>
              <w:t>合理衔接和引导屋面雨水、道路雨水进入地面生态设施，并采取相应的径流污染控制措施。</w:t>
            </w:r>
          </w:p>
        </w:tc>
        <w:tc>
          <w:tcPr>
            <w:tcW w:w="1183" w:type="dxa"/>
            <w:vAlign w:val="center"/>
          </w:tcPr>
          <w:p>
            <w:pPr>
              <w:spacing w:line="288" w:lineRule="auto"/>
              <w:jc w:val="center"/>
              <w:rPr>
                <w:bCs/>
                <w:lang w:val="zh-CN"/>
              </w:rPr>
            </w:pPr>
            <w:r>
              <w:rPr>
                <w:bCs/>
                <w:lang w:val="zh-CN"/>
              </w:rPr>
              <w:t>3</w:t>
            </w:r>
          </w:p>
        </w:tc>
        <w:tc>
          <w:tcPr>
            <w:tcW w:w="1074" w:type="dxa"/>
            <w:vAlign w:val="center"/>
          </w:tcPr>
          <w:p>
            <w:pPr>
              <w:spacing w:line="288" w:lineRule="auto"/>
              <w:jc w:val="center"/>
              <w:rPr>
                <w:rFonts w:hint="eastAsia" w:eastAsia="宋体"/>
                <w:b/>
                <w:bCs/>
                <w:lang w:val="en-US" w:eastAsia="zh-CN"/>
              </w:rPr>
            </w:pPr>
            <w:r>
              <w:rPr>
                <w:rFonts w:hint="eastAsia"/>
                <w:b/>
                <w:bCs/>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288" w:lineRule="auto"/>
              <w:jc w:val="center"/>
              <w:rPr>
                <w:kern w:val="0"/>
              </w:rPr>
            </w:pPr>
            <w:r>
              <w:rPr>
                <w:rFonts w:hint="eastAsia"/>
                <w:kern w:val="0"/>
              </w:rPr>
              <w:t>3</w:t>
            </w:r>
          </w:p>
        </w:tc>
        <w:tc>
          <w:tcPr>
            <w:tcW w:w="5306" w:type="dxa"/>
            <w:vAlign w:val="center"/>
          </w:tcPr>
          <w:p>
            <w:pPr>
              <w:spacing w:line="288" w:lineRule="auto"/>
              <w:jc w:val="left"/>
              <w:rPr>
                <w:kern w:val="0"/>
              </w:rPr>
            </w:pPr>
            <w:r>
              <w:rPr>
                <w:kern w:val="0"/>
              </w:rPr>
              <w:t>硬质铺装地面中透水铺装面积的比例达到50%。</w:t>
            </w:r>
          </w:p>
        </w:tc>
        <w:tc>
          <w:tcPr>
            <w:tcW w:w="1183" w:type="dxa"/>
            <w:vAlign w:val="center"/>
          </w:tcPr>
          <w:p>
            <w:pPr>
              <w:spacing w:line="288" w:lineRule="auto"/>
              <w:jc w:val="center"/>
              <w:rPr>
                <w:bCs/>
                <w:lang w:val="zh-CN"/>
              </w:rPr>
            </w:pPr>
            <w:r>
              <w:rPr>
                <w:bCs/>
                <w:lang w:val="zh-CN"/>
              </w:rPr>
              <w:t>3</w:t>
            </w:r>
          </w:p>
        </w:tc>
        <w:tc>
          <w:tcPr>
            <w:tcW w:w="1074" w:type="dxa"/>
            <w:vAlign w:val="center"/>
          </w:tcPr>
          <w:p>
            <w:pPr>
              <w:spacing w:line="288" w:lineRule="auto"/>
              <w:jc w:val="center"/>
              <w:rPr>
                <w:rFonts w:hint="eastAsia" w:eastAsia="宋体"/>
                <w:b/>
                <w:bCs/>
                <w:lang w:val="en-US" w:eastAsia="zh-CN"/>
              </w:rPr>
            </w:pPr>
            <w:r>
              <w:rPr>
                <w:rFonts w:hint="eastAsia"/>
                <w:b/>
                <w:bCs/>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5" w:type="dxa"/>
            <w:gridSpan w:val="2"/>
          </w:tcPr>
          <w:p>
            <w:pPr>
              <w:spacing w:line="288" w:lineRule="auto"/>
              <w:jc w:val="center"/>
              <w:rPr>
                <w:bCs/>
                <w:lang w:val="zh-CN"/>
              </w:rPr>
            </w:pPr>
            <w:r>
              <w:rPr>
                <w:bCs/>
                <w:lang w:val="zh-CN"/>
              </w:rPr>
              <w:t>合计</w:t>
            </w:r>
          </w:p>
        </w:tc>
        <w:tc>
          <w:tcPr>
            <w:tcW w:w="1183" w:type="dxa"/>
            <w:vAlign w:val="center"/>
          </w:tcPr>
          <w:p>
            <w:pPr>
              <w:spacing w:line="288" w:lineRule="auto"/>
              <w:jc w:val="center"/>
              <w:rPr>
                <w:bCs/>
                <w:lang w:val="zh-CN"/>
              </w:rPr>
            </w:pPr>
            <w:r>
              <w:rPr>
                <w:bCs/>
                <w:lang w:val="zh-CN"/>
              </w:rPr>
              <w:t>9</w:t>
            </w:r>
          </w:p>
        </w:tc>
        <w:tc>
          <w:tcPr>
            <w:tcW w:w="1074" w:type="dxa"/>
            <w:vAlign w:val="center"/>
          </w:tcPr>
          <w:p>
            <w:pPr>
              <w:spacing w:line="288" w:lineRule="auto"/>
              <w:jc w:val="center"/>
              <w:rPr>
                <w:rFonts w:hint="eastAsia" w:eastAsia="宋体"/>
                <w:b/>
                <w:bCs/>
                <w:lang w:val="en-US" w:eastAsia="zh-CN"/>
              </w:rPr>
            </w:pPr>
            <w:r>
              <w:rPr>
                <w:rFonts w:hint="eastAsia"/>
                <w:b/>
                <w:bCs/>
                <w:lang w:val="en-US" w:eastAsia="zh-CN"/>
              </w:rPr>
              <w:t>8</w:t>
            </w:r>
          </w:p>
        </w:tc>
      </w:tr>
    </w:tbl>
    <w:p>
      <w:pPr>
        <w:pStyle w:val="10"/>
        <w:spacing w:line="288" w:lineRule="auto"/>
        <w:ind w:firstLine="0" w:firstLineChars="0"/>
        <w:rPr>
          <w:b/>
          <w:bCs/>
          <w:lang w:val="zh-CN"/>
        </w:rPr>
      </w:pPr>
    </w:p>
    <w:p>
      <w:pPr>
        <w:pStyle w:val="10"/>
        <w:spacing w:line="288" w:lineRule="auto"/>
        <w:ind w:firstLine="0" w:firstLineChars="0"/>
        <w:rPr>
          <w:b/>
          <w:bCs/>
          <w:lang w:val="zh-CN"/>
        </w:rPr>
      </w:pPr>
      <w:r>
        <w:rPr>
          <w:b/>
          <w:bCs/>
          <w:lang w:val="zh-CN"/>
        </w:rPr>
        <w:t>2）评价要点</w:t>
      </w:r>
    </w:p>
    <w:p>
      <w:pPr>
        <w:pStyle w:val="11"/>
        <w:spacing w:line="288" w:lineRule="auto"/>
        <w:outlineLvl w:val="9"/>
        <w:rPr>
          <w:sz w:val="21"/>
          <w:szCs w:val="21"/>
        </w:rPr>
      </w:pPr>
      <w:r>
        <w:rPr>
          <w:sz w:val="21"/>
          <w:szCs w:val="21"/>
        </w:rPr>
        <w:t>项目所在地：，当地年降雨量：</w:t>
      </w:r>
      <w:r>
        <w:rPr>
          <w:rFonts w:hint="eastAsia"/>
          <w:sz w:val="21"/>
          <w:szCs w:val="21"/>
        </w:rPr>
        <w:t xml:space="preserve"> </w:t>
      </w:r>
      <w:r>
        <w:rPr>
          <w:sz w:val="21"/>
          <w:szCs w:val="21"/>
        </w:rPr>
        <w:t>mm；</w:t>
      </w:r>
    </w:p>
    <w:p>
      <w:pPr>
        <w:jc w:val="center"/>
      </w:pPr>
      <w:r>
        <w:t>场地内绿色雨水基础设施统计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3970"/>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t>序号</w:t>
            </w:r>
          </w:p>
        </w:tc>
        <w:tc>
          <w:tcPr>
            <w:tcW w:w="3970" w:type="dxa"/>
          </w:tcPr>
          <w:p>
            <w:pPr>
              <w:jc w:val="center"/>
            </w:pPr>
            <w:r>
              <w:rPr>
                <w:kern w:val="0"/>
                <w:szCs w:val="21"/>
              </w:rPr>
              <w:t>绿色雨水基础设施</w:t>
            </w:r>
            <w:r>
              <w:t>设施类型</w:t>
            </w:r>
          </w:p>
        </w:tc>
        <w:tc>
          <w:tcPr>
            <w:tcW w:w="3463" w:type="dxa"/>
          </w:tcPr>
          <w:p>
            <w:pPr>
              <w:jc w:val="center"/>
            </w:pPr>
            <w:r>
              <w:t>面积（m</w:t>
            </w:r>
            <w:r>
              <w:rPr>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jc w:val="center"/>
            </w:pPr>
            <w:r>
              <w:t>1</w:t>
            </w:r>
          </w:p>
        </w:tc>
        <w:tc>
          <w:tcPr>
            <w:tcW w:w="3970" w:type="dxa"/>
          </w:tcPr>
          <w:p>
            <w:r>
              <w:rPr>
                <w:kern w:val="0"/>
              </w:rPr>
              <w:t>下凹式绿地</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t>2</w:t>
            </w:r>
          </w:p>
        </w:tc>
        <w:tc>
          <w:tcPr>
            <w:tcW w:w="3970" w:type="dxa"/>
          </w:tcPr>
          <w:p>
            <w:r>
              <w:rPr>
                <w:kern w:val="0"/>
              </w:rPr>
              <w:t>雨水花园</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3</w:t>
            </w:r>
          </w:p>
        </w:tc>
        <w:tc>
          <w:tcPr>
            <w:tcW w:w="3970" w:type="dxa"/>
          </w:tcPr>
          <w:p>
            <w:r>
              <w:rPr>
                <w:kern w:val="0"/>
                <w:szCs w:val="21"/>
              </w:rPr>
              <w:t>植被浅沟</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4</w:t>
            </w:r>
          </w:p>
        </w:tc>
        <w:tc>
          <w:tcPr>
            <w:tcW w:w="3970" w:type="dxa"/>
          </w:tcPr>
          <w:p>
            <w:pPr>
              <w:rPr>
                <w:kern w:val="0"/>
                <w:szCs w:val="21"/>
              </w:rPr>
            </w:pPr>
            <w:r>
              <w:rPr>
                <w:kern w:val="0"/>
                <w:szCs w:val="21"/>
              </w:rPr>
              <w:t>树池</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5</w:t>
            </w:r>
          </w:p>
        </w:tc>
        <w:tc>
          <w:tcPr>
            <w:tcW w:w="3970" w:type="dxa"/>
          </w:tcPr>
          <w:p>
            <w:pPr>
              <w:rPr>
                <w:kern w:val="0"/>
              </w:rPr>
            </w:pPr>
            <w:r>
              <w:rPr>
                <w:kern w:val="0"/>
                <w:szCs w:val="21"/>
              </w:rPr>
              <w:t>雨水塘</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6</w:t>
            </w:r>
          </w:p>
        </w:tc>
        <w:tc>
          <w:tcPr>
            <w:tcW w:w="3970" w:type="dxa"/>
          </w:tcPr>
          <w:p>
            <w:pPr>
              <w:autoSpaceDE w:val="0"/>
              <w:autoSpaceDN w:val="0"/>
              <w:adjustRightInd w:val="0"/>
              <w:jc w:val="left"/>
              <w:rPr>
                <w:kern w:val="0"/>
              </w:rPr>
            </w:pPr>
            <w:r>
              <w:rPr>
                <w:kern w:val="0"/>
                <w:szCs w:val="21"/>
              </w:rPr>
              <w:t>雨水湿地</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7</w:t>
            </w:r>
          </w:p>
        </w:tc>
        <w:tc>
          <w:tcPr>
            <w:tcW w:w="3970" w:type="dxa"/>
          </w:tcPr>
          <w:p>
            <w:pPr>
              <w:rPr>
                <w:kern w:val="0"/>
              </w:rPr>
            </w:pPr>
            <w:r>
              <w:rPr>
                <w:kern w:val="0"/>
                <w:szCs w:val="21"/>
              </w:rPr>
              <w:t>景观设计水体</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8</w:t>
            </w:r>
          </w:p>
        </w:tc>
        <w:tc>
          <w:tcPr>
            <w:tcW w:w="3970" w:type="dxa"/>
          </w:tcPr>
          <w:p>
            <w:pPr>
              <w:rPr>
                <w:kern w:val="0"/>
                <w:szCs w:val="21"/>
              </w:rPr>
            </w:pPr>
            <w:r>
              <w:rPr>
                <w:kern w:val="0"/>
                <w:szCs w:val="21"/>
              </w:rPr>
              <w:t>自然水体（河流、湖泊）</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jc w:val="center"/>
            </w:pPr>
            <w:r>
              <w:rPr>
                <w:rFonts w:hint="eastAsia"/>
              </w:rPr>
              <w:t>9</w:t>
            </w:r>
          </w:p>
        </w:tc>
        <w:tc>
          <w:tcPr>
            <w:tcW w:w="3970" w:type="dxa"/>
          </w:tcPr>
          <w:p>
            <w:pPr>
              <w:rPr>
                <w:kern w:val="0"/>
              </w:rPr>
            </w:pPr>
            <w:r>
              <w:rPr>
                <w:kern w:val="0"/>
                <w:szCs w:val="21"/>
              </w:rPr>
              <w:t>其他</w:t>
            </w:r>
            <w:r>
              <w:rPr>
                <w:kern w:val="0"/>
              </w:rPr>
              <w:t>有调蓄雨水功能的绿地和水体</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9" w:type="dxa"/>
            <w:gridSpan w:val="2"/>
          </w:tcPr>
          <w:p>
            <w:pPr>
              <w:jc w:val="center"/>
              <w:rPr>
                <w:kern w:val="0"/>
              </w:rPr>
            </w:pPr>
            <w:r>
              <w:rPr>
                <w:kern w:val="0"/>
              </w:rPr>
              <w:t>合计</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9" w:type="dxa"/>
            <w:gridSpan w:val="2"/>
          </w:tcPr>
          <w:p>
            <w:pPr>
              <w:jc w:val="center"/>
              <w:rPr>
                <w:kern w:val="0"/>
              </w:rPr>
            </w:pPr>
            <w:r>
              <w:t>场地绿地面积</w:t>
            </w:r>
          </w:p>
        </w:tc>
        <w:tc>
          <w:tcPr>
            <w:tcW w:w="346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9" w:type="dxa"/>
            <w:gridSpan w:val="2"/>
          </w:tcPr>
          <w:p>
            <w:pPr>
              <w:rPr>
                <w:kern w:val="0"/>
              </w:rPr>
            </w:pPr>
            <w:r>
              <w:rPr>
                <w:kern w:val="0"/>
              </w:rPr>
              <w:t>有调蓄雨水功能的绿地和水体的面积之和占绿地面积的比例%。</w:t>
            </w:r>
          </w:p>
        </w:tc>
        <w:tc>
          <w:tcPr>
            <w:tcW w:w="3463" w:type="dxa"/>
            <w:vAlign w:val="center"/>
          </w:tcPr>
          <w:p>
            <w:pPr>
              <w:jc w:val="center"/>
            </w:pPr>
          </w:p>
        </w:tc>
      </w:tr>
    </w:tbl>
    <w:p/>
    <w:p>
      <w:pPr>
        <w:rPr>
          <w:szCs w:val="21"/>
        </w:rPr>
      </w:pPr>
      <w:r>
        <w:rPr>
          <w:szCs w:val="21"/>
        </w:rPr>
        <w:t>项目场地用地面积： m</w:t>
      </w:r>
      <w:r>
        <w:rPr>
          <w:szCs w:val="21"/>
          <w:vertAlign w:val="superscript"/>
        </w:rPr>
        <w:t>2</w:t>
      </w:r>
      <w:r>
        <w:rPr>
          <w:szCs w:val="21"/>
        </w:rPr>
        <w:t>；场地用地面积是否大于10hm</w:t>
      </w:r>
      <w:r>
        <w:rPr>
          <w:szCs w:val="21"/>
          <w:vertAlign w:val="superscript"/>
        </w:rPr>
        <w:t>2</w:t>
      </w:r>
      <w:r>
        <w:rPr>
          <w:szCs w:val="21"/>
        </w:rPr>
        <w:t>：</w:t>
      </w:r>
      <w:sdt>
        <w:sdtPr>
          <w:rPr>
            <w:b/>
            <w:bCs/>
            <w:szCs w:val="21"/>
            <w:lang w:val="zh-CN"/>
          </w:rPr>
          <w:id w:val="1622426439"/>
          <w14:checkbox>
            <w14:checked w14:val="1"/>
            <w14:checkedState w14:val="0052" w14:font="Wingdings 2"/>
            <w14:uncheckedState w14:val="2610" w14:font="MS Gothic"/>
          </w14:checkbox>
        </w:sdtPr>
        <w:sdtEndPr>
          <w:rPr>
            <w:b/>
            <w:bCs/>
            <w:szCs w:val="21"/>
            <w:lang w:val="zh-CN"/>
          </w:rPr>
        </w:sdtEndPr>
        <w:sdtContent>
          <w:bookmarkStart w:id="0" w:name="_GoBack"/>
          <w:bookmarkEnd w:id="0"/>
          <w:r>
            <w:rPr>
              <w:rFonts w:hint="eastAsia" w:ascii="Wingdings 2" w:hAnsi="Wingdings 2" w:eastAsia="MS Gothic" w:cs="Times New Roman"/>
              <w:b/>
              <w:bCs/>
              <w:kern w:val="2"/>
              <w:sz w:val="21"/>
              <w:szCs w:val="21"/>
              <w:lang w:val="zh-CN" w:eastAsia="zh-CN" w:bidi="ar-SA"/>
            </w:rPr>
            <w:t>R</w:t>
          </w:r>
        </w:sdtContent>
      </w:sdt>
      <w:r>
        <w:rPr>
          <w:szCs w:val="21"/>
        </w:rPr>
        <w:t>是、</w:t>
      </w:r>
      <w:sdt>
        <w:sdtPr>
          <w:rPr>
            <w:b/>
            <w:bCs/>
            <w:szCs w:val="21"/>
            <w:lang w:val="zh-CN"/>
          </w:rPr>
          <w:id w:val="75887318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否。</w:t>
      </w:r>
    </w:p>
    <w:p>
      <w:pPr>
        <w:autoSpaceDE w:val="0"/>
        <w:autoSpaceDN w:val="0"/>
        <w:adjustRightInd w:val="0"/>
        <w:jc w:val="left"/>
        <w:rPr>
          <w:szCs w:val="21"/>
        </w:rPr>
      </w:pPr>
      <w:r>
        <w:rPr>
          <w:szCs w:val="21"/>
        </w:rPr>
        <w:t>如场地用地面积大于10hm</w:t>
      </w:r>
      <w:r>
        <w:rPr>
          <w:szCs w:val="21"/>
          <w:vertAlign w:val="superscript"/>
        </w:rPr>
        <w:t>2</w:t>
      </w:r>
      <w:r>
        <w:rPr>
          <w:szCs w:val="21"/>
        </w:rPr>
        <w:t>，应简要描述场地雨水专项规划设计，</w:t>
      </w:r>
      <w:r>
        <w:rPr>
          <w:kern w:val="0"/>
          <w:szCs w:val="21"/>
        </w:rPr>
        <w:t>包含对场地内径流减排、污染控制、雨水收集回用等的全面统筹规划设计</w:t>
      </w:r>
      <w:r>
        <w:rPr>
          <w:szCs w:val="21"/>
        </w:rPr>
        <w:t>。</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Borders>
              <w:top w:val="single" w:color="auto" w:sz="4" w:space="0"/>
              <w:left w:val="single" w:color="auto" w:sz="4" w:space="0"/>
              <w:bottom w:val="single" w:color="auto" w:sz="4" w:space="0"/>
              <w:right w:val="single" w:color="auto" w:sz="4" w:space="0"/>
            </w:tcBorders>
          </w:tcPr>
          <w:p>
            <w:pPr>
              <w:pStyle w:val="12"/>
              <w:spacing w:line="288" w:lineRule="auto"/>
              <w:ind w:firstLine="420" w:firstLineChars="200"/>
              <w:jc w:val="both"/>
              <w:rPr>
                <w:rFonts w:ascii="Times New Roman" w:cs="Times New Roman"/>
                <w:color w:val="auto"/>
                <w:kern w:val="2"/>
                <w:sz w:val="21"/>
                <w:szCs w:val="21"/>
              </w:rPr>
            </w:pPr>
          </w:p>
        </w:tc>
      </w:tr>
    </w:tbl>
    <w:p>
      <w:r>
        <w:rPr>
          <w:kern w:val="0"/>
        </w:rPr>
        <w:t>简要描述场地内屋面雨水、道路雨水进入地面生态设施的衔接和引导设计，及相应的径流污染控制措施。</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Borders>
              <w:top w:val="single" w:color="auto" w:sz="4" w:space="0"/>
              <w:left w:val="single" w:color="auto" w:sz="4" w:space="0"/>
              <w:bottom w:val="single" w:color="auto" w:sz="4" w:space="0"/>
              <w:right w:val="single" w:color="auto" w:sz="4" w:space="0"/>
            </w:tcBorders>
          </w:tcPr>
          <w:p>
            <w:pPr>
              <w:pStyle w:val="12"/>
              <w:spacing w:line="288" w:lineRule="auto"/>
              <w:ind w:firstLine="420" w:firstLineChars="200"/>
              <w:jc w:val="both"/>
              <w:rPr>
                <w:rFonts w:ascii="Times New Roman" w:cs="Times New Roman"/>
                <w:color w:val="auto"/>
                <w:kern w:val="2"/>
                <w:sz w:val="21"/>
                <w:szCs w:val="21"/>
              </w:rPr>
            </w:pPr>
          </w:p>
        </w:tc>
      </w:tr>
    </w:tbl>
    <w:p>
      <w:pPr>
        <w:spacing w:line="288" w:lineRule="auto"/>
        <w:jc w:val="center"/>
      </w:pPr>
      <w:r>
        <w:rPr>
          <w:kern w:val="0"/>
        </w:rPr>
        <w:t>透水铺装面积比例计算</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4425"/>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37" w:type="dxa"/>
            <w:vAlign w:val="center"/>
          </w:tcPr>
          <w:p>
            <w:pPr>
              <w:jc w:val="center"/>
            </w:pPr>
            <w:r>
              <w:t>序号</w:t>
            </w:r>
          </w:p>
        </w:tc>
        <w:tc>
          <w:tcPr>
            <w:tcW w:w="4425" w:type="dxa"/>
            <w:vAlign w:val="center"/>
          </w:tcPr>
          <w:p>
            <w:pPr>
              <w:jc w:val="center"/>
            </w:pPr>
            <w:r>
              <w:t>透水铺装类型</w:t>
            </w:r>
          </w:p>
        </w:tc>
        <w:tc>
          <w:tcPr>
            <w:tcW w:w="2860" w:type="dxa"/>
            <w:vAlign w:val="center"/>
          </w:tcPr>
          <w:p>
            <w:pPr>
              <w:jc w:val="center"/>
            </w:pPr>
            <w:r>
              <w:t>面积（m</w:t>
            </w:r>
            <w:r>
              <w:rPr>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37" w:type="dxa"/>
            <w:vAlign w:val="center"/>
          </w:tcPr>
          <w:p>
            <w:pPr>
              <w:jc w:val="center"/>
            </w:pPr>
            <w:r>
              <w:t>1</w:t>
            </w:r>
          </w:p>
        </w:tc>
        <w:tc>
          <w:tcPr>
            <w:tcW w:w="4425" w:type="dxa"/>
            <w:vAlign w:val="center"/>
          </w:tcPr>
          <w:p>
            <w:pPr>
              <w:jc w:val="center"/>
            </w:pPr>
            <w:r>
              <w:rPr>
                <w:kern w:val="0"/>
                <w:szCs w:val="21"/>
              </w:rPr>
              <w:t>植草砖</w:t>
            </w:r>
          </w:p>
        </w:tc>
        <w:tc>
          <w:tcPr>
            <w:tcW w:w="28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37" w:type="dxa"/>
            <w:vAlign w:val="center"/>
          </w:tcPr>
          <w:p>
            <w:pPr>
              <w:jc w:val="center"/>
            </w:pPr>
            <w:r>
              <w:t>2</w:t>
            </w:r>
          </w:p>
        </w:tc>
        <w:tc>
          <w:tcPr>
            <w:tcW w:w="4425" w:type="dxa"/>
            <w:vAlign w:val="center"/>
          </w:tcPr>
          <w:p>
            <w:pPr>
              <w:jc w:val="center"/>
            </w:pPr>
            <w:r>
              <w:rPr>
                <w:kern w:val="0"/>
                <w:szCs w:val="21"/>
              </w:rPr>
              <w:t>透水沥青</w:t>
            </w:r>
          </w:p>
        </w:tc>
        <w:tc>
          <w:tcPr>
            <w:tcW w:w="28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37" w:type="dxa"/>
            <w:vAlign w:val="center"/>
          </w:tcPr>
          <w:p>
            <w:pPr>
              <w:jc w:val="center"/>
            </w:pPr>
            <w:r>
              <w:t>3</w:t>
            </w:r>
          </w:p>
        </w:tc>
        <w:tc>
          <w:tcPr>
            <w:tcW w:w="4425" w:type="dxa"/>
            <w:vAlign w:val="center"/>
          </w:tcPr>
          <w:p>
            <w:pPr>
              <w:jc w:val="center"/>
            </w:pPr>
            <w:r>
              <w:rPr>
                <w:kern w:val="0"/>
                <w:szCs w:val="21"/>
              </w:rPr>
              <w:t>透水混凝土</w:t>
            </w:r>
          </w:p>
        </w:tc>
        <w:tc>
          <w:tcPr>
            <w:tcW w:w="28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237" w:type="dxa"/>
            <w:vAlign w:val="center"/>
          </w:tcPr>
          <w:p>
            <w:pPr>
              <w:jc w:val="center"/>
            </w:pPr>
            <w:r>
              <w:t>4</w:t>
            </w:r>
          </w:p>
        </w:tc>
        <w:tc>
          <w:tcPr>
            <w:tcW w:w="4425" w:type="dxa"/>
            <w:vAlign w:val="center"/>
          </w:tcPr>
          <w:p>
            <w:pPr>
              <w:jc w:val="center"/>
            </w:pPr>
            <w:r>
              <w:rPr>
                <w:kern w:val="0"/>
                <w:szCs w:val="21"/>
              </w:rPr>
              <w:t>透水地砖</w:t>
            </w:r>
          </w:p>
        </w:tc>
        <w:tc>
          <w:tcPr>
            <w:tcW w:w="28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37" w:type="dxa"/>
            <w:vAlign w:val="center"/>
          </w:tcPr>
          <w:p>
            <w:pPr>
              <w:jc w:val="center"/>
            </w:pPr>
            <w:r>
              <w:t>5</w:t>
            </w:r>
          </w:p>
        </w:tc>
        <w:tc>
          <w:tcPr>
            <w:tcW w:w="4425" w:type="dxa"/>
            <w:vAlign w:val="center"/>
          </w:tcPr>
          <w:p>
            <w:pPr>
              <w:jc w:val="center"/>
              <w:rPr>
                <w:u w:val="single"/>
              </w:rPr>
            </w:pPr>
            <w:r>
              <w:t>其他：</w:t>
            </w:r>
          </w:p>
        </w:tc>
        <w:tc>
          <w:tcPr>
            <w:tcW w:w="28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662" w:type="dxa"/>
            <w:gridSpan w:val="2"/>
            <w:vAlign w:val="center"/>
          </w:tcPr>
          <w:p>
            <w:pPr>
              <w:jc w:val="center"/>
            </w:pPr>
            <w:r>
              <w:t>硬质铺装总面积</w:t>
            </w:r>
          </w:p>
        </w:tc>
        <w:tc>
          <w:tcPr>
            <w:tcW w:w="28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662" w:type="dxa"/>
            <w:gridSpan w:val="2"/>
            <w:vAlign w:val="center"/>
          </w:tcPr>
          <w:p>
            <w:pPr>
              <w:jc w:val="center"/>
            </w:pPr>
            <w:r>
              <w:rPr>
                <w:kern w:val="0"/>
              </w:rPr>
              <w:t>硬质铺装地面中透水铺装面积的比例（%）</w:t>
            </w:r>
          </w:p>
        </w:tc>
        <w:tc>
          <w:tcPr>
            <w:tcW w:w="2860" w:type="dxa"/>
            <w:vAlign w:val="center"/>
          </w:tcPr>
          <w:p>
            <w:pPr>
              <w:jc w:val="center"/>
            </w:pPr>
          </w:p>
        </w:tc>
      </w:tr>
    </w:tbl>
    <w:p>
      <w:pPr>
        <w:autoSpaceDE w:val="0"/>
        <w:autoSpaceDN w:val="0"/>
        <w:adjustRightInd w:val="0"/>
        <w:spacing w:line="288" w:lineRule="auto"/>
        <w:jc w:val="left"/>
      </w:pPr>
      <w:r>
        <w:rPr>
          <w:kern w:val="0"/>
          <w:szCs w:val="21"/>
        </w:rPr>
        <w:t>当透水铺装下为地下室顶板时，简要描述雨水的渗透方式</w:t>
      </w:r>
      <w:r>
        <w:t>。</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Borders>
              <w:top w:val="single" w:color="auto" w:sz="4" w:space="0"/>
              <w:left w:val="single" w:color="auto" w:sz="4" w:space="0"/>
              <w:bottom w:val="single" w:color="auto" w:sz="4" w:space="0"/>
              <w:right w:val="single" w:color="auto" w:sz="4" w:space="0"/>
            </w:tcBorders>
          </w:tcPr>
          <w:p>
            <w:pPr>
              <w:pStyle w:val="12"/>
              <w:spacing w:line="288" w:lineRule="auto"/>
              <w:jc w:val="both"/>
              <w:rPr>
                <w:rFonts w:ascii="Times New Roman" w:cs="Times New Roman"/>
                <w:color w:val="auto"/>
                <w:kern w:val="2"/>
                <w:sz w:val="21"/>
                <w:szCs w:val="21"/>
              </w:rPr>
            </w:pPr>
          </w:p>
        </w:tc>
      </w:tr>
    </w:tbl>
    <w:p/>
    <w:p>
      <w:pPr>
        <w:rPr>
          <w:b/>
          <w:bCs/>
          <w:lang w:val="zh-CN"/>
        </w:rPr>
      </w:pPr>
      <w:r>
        <w:rPr>
          <w:b/>
          <w:bCs/>
          <w:lang w:val="zh-CN"/>
        </w:rPr>
        <w:t>3）证明材料</w:t>
      </w:r>
    </w:p>
    <w:p>
      <w:pPr>
        <w:spacing w:line="288" w:lineRule="auto"/>
        <w:rPr>
          <w:b/>
          <w:bCs/>
          <w:lang w:val="zh-CN"/>
        </w:rPr>
      </w:pPr>
      <w:r>
        <w:rPr>
          <w:b/>
          <w:bCs/>
          <w:lang w:val="zh-CN"/>
        </w:rPr>
        <w:t>提交材料及要求：</w:t>
      </w:r>
    </w:p>
    <w:p>
      <w:pPr>
        <w:pStyle w:val="11"/>
        <w:numPr>
          <w:ilvl w:val="0"/>
          <w:numId w:val="1"/>
        </w:numPr>
        <w:spacing w:line="288" w:lineRule="auto"/>
        <w:outlineLvl w:val="9"/>
        <w:rPr>
          <w:sz w:val="21"/>
          <w:szCs w:val="21"/>
        </w:rPr>
      </w:pPr>
      <w:r>
        <w:rPr>
          <w:sz w:val="21"/>
          <w:szCs w:val="21"/>
        </w:rPr>
        <w:t>景观绿化图：应体现项目红线范围内下凹绿地、雨水花园位置、面积，并提供下凹绿地、雨水花园剖面设计图；</w:t>
      </w:r>
    </w:p>
    <w:p>
      <w:pPr>
        <w:pStyle w:val="11"/>
        <w:numPr>
          <w:ilvl w:val="0"/>
          <w:numId w:val="1"/>
        </w:numPr>
        <w:spacing w:line="288" w:lineRule="auto"/>
        <w:outlineLvl w:val="9"/>
        <w:rPr>
          <w:sz w:val="21"/>
          <w:szCs w:val="21"/>
        </w:rPr>
      </w:pPr>
      <w:r>
        <w:rPr>
          <w:sz w:val="21"/>
          <w:szCs w:val="21"/>
        </w:rPr>
        <w:t>雨水排水图：提供屋面雨水、道路雨水排水图纸，并提供其进入地面生态设施的设计图；</w:t>
      </w:r>
    </w:p>
    <w:p>
      <w:pPr>
        <w:pStyle w:val="11"/>
        <w:numPr>
          <w:ilvl w:val="0"/>
          <w:numId w:val="1"/>
        </w:numPr>
        <w:spacing w:line="288" w:lineRule="auto"/>
        <w:outlineLvl w:val="9"/>
        <w:rPr>
          <w:sz w:val="21"/>
          <w:szCs w:val="21"/>
        </w:rPr>
      </w:pPr>
      <w:r>
        <w:rPr>
          <w:sz w:val="21"/>
          <w:szCs w:val="21"/>
        </w:rPr>
        <w:t>景观铺装图：应在场地铺装图中标明室外透水地面位置、面积、铺装材料等；</w:t>
      </w:r>
    </w:p>
    <w:p>
      <w:pPr>
        <w:pStyle w:val="11"/>
        <w:numPr>
          <w:ilvl w:val="0"/>
          <w:numId w:val="1"/>
        </w:numPr>
        <w:spacing w:line="288" w:lineRule="auto"/>
        <w:outlineLvl w:val="9"/>
        <w:rPr>
          <w:sz w:val="21"/>
          <w:szCs w:val="21"/>
        </w:rPr>
      </w:pPr>
      <w:r>
        <w:rPr>
          <w:sz w:val="21"/>
          <w:szCs w:val="21"/>
        </w:rPr>
        <w:t>雨水专项规划设计方案：应介绍规划依据、原则、范围、标准、目标、雨水系统规划。</w:t>
      </w:r>
    </w:p>
    <w:p>
      <w:pPr>
        <w:spacing w:line="288" w:lineRule="auto"/>
        <w:rPr>
          <w:szCs w:val="21"/>
        </w:rPr>
      </w:pPr>
    </w:p>
    <w:p>
      <w:pPr>
        <w:spacing w:line="288" w:lineRule="auto"/>
        <w:rPr>
          <w:b/>
          <w:szCs w:val="21"/>
        </w:rPr>
      </w:pPr>
      <w:r>
        <w:rPr>
          <w:rFonts w:hint="eastAsia"/>
          <w:b/>
          <w:szCs w:val="21"/>
        </w:rPr>
        <w:t>实际提交材料：</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Borders>
              <w:top w:val="single" w:color="auto" w:sz="4" w:space="0"/>
              <w:left w:val="single" w:color="auto" w:sz="4" w:space="0"/>
              <w:bottom w:val="single" w:color="auto" w:sz="4" w:space="0"/>
              <w:right w:val="single" w:color="auto" w:sz="4" w:space="0"/>
            </w:tcBorders>
          </w:tcPr>
          <w:p>
            <w:pPr>
              <w:pStyle w:val="12"/>
              <w:spacing w:line="288" w:lineRule="auto"/>
              <w:jc w:val="both"/>
              <w:rPr>
                <w:rFonts w:ascii="Times New Roman" w:cs="Times New Roman"/>
                <w:b/>
                <w:color w:val="auto"/>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A2F96"/>
    <w:multiLevelType w:val="multilevel"/>
    <w:tmpl w:val="48CA2F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21"/>
    <w:rsid w:val="00185325"/>
    <w:rsid w:val="0062081F"/>
    <w:rsid w:val="00666842"/>
    <w:rsid w:val="009D6262"/>
    <w:rsid w:val="00AA1221"/>
    <w:rsid w:val="00BC75D6"/>
    <w:rsid w:val="00D45286"/>
    <w:rsid w:val="00EC52B4"/>
    <w:rsid w:val="2995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 w:type="paragraph" w:customStyle="1" w:styleId="11">
    <w:name w:val="条文"/>
    <w:basedOn w:val="1"/>
    <w:link w:val="13"/>
    <w:qFormat/>
    <w:uiPriority w:val="0"/>
    <w:pPr>
      <w:spacing w:line="300" w:lineRule="auto"/>
      <w:outlineLvl w:val="2"/>
    </w:pPr>
    <w:rPr>
      <w:sz w:val="24"/>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条文 Char"/>
    <w:link w:val="11"/>
    <w:qFormat/>
    <w:locked/>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753</Words>
  <Characters>778</Characters>
  <Lines>6</Lines>
  <Paragraphs>1</Paragraphs>
  <TotalTime>2</TotalTime>
  <ScaleCrop>false</ScaleCrop>
  <LinksUpToDate>false</LinksUpToDate>
  <CharactersWithSpaces>783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2019-10-18T06:45:00Z</dcterms:created>
  <dc:creator>dongYP</dc:creator>
  <cp:lastModifiedBy>陈辉</cp:lastModifiedBy>
  <dcterms:modified xsi:type="dcterms:W3CDTF">2022-03-11T07:02:51Z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194B56323FB349DCAC0994C4E932C309</vt:lpwstr>
  </property>
</Properties>
</file>