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5.2.3 </w:t>
      </w:r>
      <w:r>
        <w:rPr>
          <w:rFonts w:ascii="Times New Roman"/>
        </w:rPr>
        <w:t>合理开发利用地下空间。（总分</w:t>
      </w:r>
      <w:r>
        <w:rPr>
          <w:rFonts w:ascii="Times New Roman" w:hAnsi="Times New Roman"/>
        </w:rPr>
        <w:t>6</w:t>
      </w:r>
      <w:r>
        <w:rPr>
          <w:rFonts w:ascii="Times New Roman"/>
        </w:rPr>
        <w:t>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；本条得分：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>6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kern w:val="0"/>
        </w:rPr>
      </w:pPr>
      <w:r>
        <w:rPr>
          <w:b/>
          <w:bCs/>
          <w:lang w:val="zh-CN"/>
        </w:rPr>
        <w:t>1）自评得分</w:t>
      </w:r>
    </w:p>
    <w:p>
      <w:pPr>
        <w:pStyle w:val="10"/>
        <w:ind w:firstLine="0" w:firstLineChars="0"/>
        <w:jc w:val="left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r>
        <w:t>不适宜开发利用地下空间可不参评</w:t>
      </w:r>
      <w:r>
        <w:rPr>
          <w:rFonts w:hint="eastAsia"/>
        </w:rPr>
        <w:t>。</w:t>
      </w:r>
    </w:p>
    <w:p>
      <w:pPr>
        <w:pStyle w:val="10"/>
        <w:ind w:firstLine="0" w:firstLineChars="0"/>
        <w:jc w:val="left"/>
        <w:rPr>
          <w:b/>
        </w:rPr>
      </w:pPr>
    </w:p>
    <w:p>
      <w:pPr>
        <w:spacing w:line="288" w:lineRule="auto"/>
        <w:rPr>
          <w:b/>
          <w:kern w:val="0"/>
        </w:rPr>
      </w:pPr>
      <w:sdt>
        <w:sdtPr>
          <w:rPr>
            <w:b/>
            <w:bCs/>
            <w:szCs w:val="21"/>
            <w:lang w:val="zh-CN"/>
          </w:rPr>
          <w:id w:val="66242724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kern w:val="0"/>
        </w:rPr>
        <w:t>居住建筑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292"/>
        <w:gridCol w:w="1969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4" w:type="dxa"/>
            <w:gridSpan w:val="2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969" w:type="dxa"/>
          </w:tcPr>
          <w:p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评价分值</w:t>
            </w:r>
          </w:p>
        </w:tc>
        <w:tc>
          <w:tcPr>
            <w:tcW w:w="1969" w:type="dxa"/>
          </w:tcPr>
          <w:p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2" w:type="dxa"/>
            <w:vMerge w:val="restart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地下建筑面积与地上建筑面积的比率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r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5%≤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r＜15%</w:t>
            </w:r>
          </w:p>
        </w:tc>
        <w:tc>
          <w:tcPr>
            <w:tcW w:w="1969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969" w:type="dxa"/>
            <w:vMerge w:val="restart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2" w:type="dxa"/>
            <w:vMerge w:val="continue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92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15%≤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r＜25%</w:t>
            </w:r>
          </w:p>
        </w:tc>
        <w:tc>
          <w:tcPr>
            <w:tcW w:w="1969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1969" w:type="dxa"/>
            <w:vMerge w:val="continue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2" w:type="dxa"/>
            <w:vMerge w:val="continue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92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r≥25%</w:t>
            </w:r>
          </w:p>
        </w:tc>
        <w:tc>
          <w:tcPr>
            <w:tcW w:w="1969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969" w:type="dxa"/>
            <w:vMerge w:val="continue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9821364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  <w:bCs/>
          <w:lang w:val="zh-CN"/>
        </w:rPr>
        <w:t>公共建筑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2299"/>
        <w:gridCol w:w="893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36" w:type="dxa"/>
            <w:gridSpan w:val="2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893" w:type="dxa"/>
          </w:tcPr>
          <w:p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评价</w:t>
            </w:r>
          </w:p>
          <w:p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分值</w:t>
            </w:r>
          </w:p>
        </w:tc>
        <w:tc>
          <w:tcPr>
            <w:tcW w:w="893" w:type="dxa"/>
          </w:tcPr>
          <w:p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自评</w:t>
            </w:r>
          </w:p>
          <w:p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7" w:type="dxa"/>
            <w:vMerge w:val="restart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地下建筑面积与总用地面积之比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1</w:t>
            </w:r>
          </w:p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地下一层建筑面积与总用地面积的比率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299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1</w:t>
            </w:r>
            <w:r>
              <w:rPr>
                <w:bCs/>
                <w:sz w:val="21"/>
                <w:szCs w:val="21"/>
              </w:rPr>
              <w:t>≥0.5</w:t>
            </w:r>
          </w:p>
        </w:tc>
        <w:tc>
          <w:tcPr>
            <w:tcW w:w="893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437" w:type="dxa"/>
            <w:vMerge w:val="continue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1</w:t>
            </w:r>
            <w:r>
              <w:rPr>
                <w:bCs/>
                <w:sz w:val="21"/>
                <w:szCs w:val="21"/>
              </w:rPr>
              <w:t>≥0.7且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bCs/>
                <w:sz w:val="21"/>
                <w:szCs w:val="21"/>
              </w:rPr>
              <w:t>p</w:t>
            </w:r>
            <w:r>
              <w:rPr>
                <w:bCs/>
                <w:sz w:val="21"/>
                <w:szCs w:val="21"/>
                <w:vertAlign w:val="subscript"/>
              </w:rPr>
              <w:t>2</w:t>
            </w:r>
            <w:r>
              <w:rPr>
                <w:bCs/>
                <w:sz w:val="21"/>
                <w:szCs w:val="21"/>
              </w:rPr>
              <w:t>＜70%</w:t>
            </w:r>
          </w:p>
        </w:tc>
        <w:tc>
          <w:tcPr>
            <w:tcW w:w="893" w:type="dxa"/>
            <w:vAlign w:val="center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893" w:type="dxa"/>
            <w:vMerge w:val="continue"/>
          </w:tcPr>
          <w:p>
            <w:pPr>
              <w:pStyle w:val="11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tabs>
          <w:tab w:val="left" w:pos="2702"/>
        </w:tabs>
        <w:adjustRightInd w:val="0"/>
        <w:snapToGrid w:val="0"/>
        <w:spacing w:line="288" w:lineRule="auto"/>
        <w:rPr>
          <w:lang w:val="zh-CN"/>
        </w:rPr>
      </w:pPr>
      <w:r>
        <w:rPr>
          <w:lang w:val="zh-CN"/>
        </w:rPr>
        <w:t>是否有地下空间：</w:t>
      </w:r>
      <w:sdt>
        <w:sdtPr>
          <w:rPr>
            <w:b/>
            <w:bCs/>
            <w:szCs w:val="21"/>
            <w:lang w:val="zh-CN"/>
          </w:rPr>
          <w:id w:val="155088390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1659265327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lang w:val="zh-CN"/>
        </w:rPr>
        <w:t>否</w:t>
      </w:r>
    </w:p>
    <w:p>
      <w:pPr>
        <w:tabs>
          <w:tab w:val="left" w:pos="2702"/>
        </w:tabs>
        <w:adjustRightInd w:val="0"/>
        <w:snapToGrid w:val="0"/>
        <w:spacing w:line="288" w:lineRule="auto"/>
        <w:rPr>
          <w:b/>
        </w:rPr>
      </w:pPr>
    </w:p>
    <w:p>
      <w:pPr>
        <w:tabs>
          <w:tab w:val="left" w:pos="2702"/>
        </w:tabs>
        <w:adjustRightInd w:val="0"/>
        <w:snapToGrid w:val="0"/>
        <w:spacing w:line="288" w:lineRule="auto"/>
        <w:rPr>
          <w:b/>
          <w:lang w:val="zh-CN"/>
        </w:rPr>
      </w:pPr>
      <w:sdt>
        <w:sdtPr>
          <w:rPr>
            <w:b/>
            <w:bCs/>
            <w:szCs w:val="21"/>
            <w:lang w:val="zh-CN"/>
          </w:rPr>
          <w:id w:val="-152216169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b/>
          <w:lang w:val="zh-CN"/>
        </w:rPr>
        <w:t>居住建筑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地上建筑面积： 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>
        <w:rPr>
          <w:lang w:val="zh-CN"/>
        </w:rPr>
        <w:t>地下建筑面积： m</w:t>
      </w:r>
      <w:r>
        <w:rPr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bCs/>
          <w:szCs w:val="21"/>
        </w:rPr>
        <w:t>地下建筑面积与地上建筑面积的比率</w:t>
      </w:r>
      <w:r>
        <w:rPr>
          <w:bCs/>
          <w:i/>
          <w:szCs w:val="21"/>
        </w:rPr>
        <w:t>R</w:t>
      </w:r>
      <w:r>
        <w:rPr>
          <w:bCs/>
          <w:szCs w:val="21"/>
        </w:rPr>
        <w:t>r</w:t>
      </w:r>
      <w:r>
        <w:rPr>
          <w:lang w:val="zh-CN"/>
        </w:rPr>
        <w:t>： %</w:t>
      </w:r>
    </w:p>
    <w:p>
      <w:pPr>
        <w:tabs>
          <w:tab w:val="left" w:pos="2702"/>
        </w:tabs>
        <w:spacing w:line="288" w:lineRule="auto"/>
        <w:rPr>
          <w:u w:val="single"/>
          <w:lang w:val="zh-CN"/>
        </w:rPr>
      </w:pPr>
      <w:r>
        <w:rPr>
          <w:lang w:val="zh-CN"/>
        </w:rPr>
        <w:t>地下空间主要功能为：</w:t>
      </w:r>
    </w:p>
    <w:p>
      <w:pPr>
        <w:tabs>
          <w:tab w:val="left" w:pos="2702"/>
        </w:tabs>
        <w:adjustRightInd w:val="0"/>
        <w:snapToGrid w:val="0"/>
        <w:spacing w:line="288" w:lineRule="auto"/>
        <w:rPr>
          <w:b/>
        </w:rPr>
      </w:pPr>
    </w:p>
    <w:p>
      <w:pPr>
        <w:tabs>
          <w:tab w:val="left" w:pos="2702"/>
        </w:tabs>
        <w:adjustRightInd w:val="0"/>
        <w:snapToGrid w:val="0"/>
        <w:spacing w:line="288" w:lineRule="auto"/>
        <w:rPr>
          <w:b/>
          <w:lang w:val="zh-CN"/>
        </w:rPr>
      </w:pPr>
      <w:sdt>
        <w:sdtPr>
          <w:rPr>
            <w:b/>
            <w:bCs/>
            <w:szCs w:val="21"/>
            <w:lang w:val="zh-CN"/>
          </w:rPr>
          <w:id w:val="-119145535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/>
          <w:b/>
          <w:lang w:val="zh-CN"/>
        </w:rPr>
        <w:t>公共建筑</w:t>
      </w:r>
    </w:p>
    <w:p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lang w:val="zh-CN"/>
        </w:rPr>
        <w:t>地下建筑面积： 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</w:t>
      </w:r>
      <w:r>
        <w:rPr>
          <w:bCs/>
          <w:szCs w:val="21"/>
        </w:rPr>
        <w:t>地下一层建筑面积：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bCs/>
          <w:szCs w:val="21"/>
        </w:rPr>
        <w:t>总用地面积</w:t>
      </w:r>
      <w:r>
        <w:rPr>
          <w:lang w:val="zh-CN"/>
        </w:rPr>
        <w:t>： m</w:t>
      </w:r>
      <w:r>
        <w:rPr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bCs/>
          <w:szCs w:val="21"/>
        </w:rPr>
        <w:t>地下建筑面积与总用地面积的比率</w:t>
      </w:r>
      <w:r>
        <w:rPr>
          <w:bCs/>
          <w:i/>
          <w:szCs w:val="21"/>
        </w:rPr>
        <w:t>R</w:t>
      </w:r>
      <w:r>
        <w:rPr>
          <w:bCs/>
          <w:szCs w:val="21"/>
        </w:rPr>
        <w:t>p</w:t>
      </w:r>
      <w:r>
        <w:rPr>
          <w:bCs/>
          <w:szCs w:val="21"/>
          <w:vertAlign w:val="subscript"/>
        </w:rPr>
        <w:t>1</w:t>
      </w:r>
      <w:r>
        <w:rPr>
          <w:lang w:val="zh-CN"/>
        </w:rPr>
        <w:t>： %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bCs/>
          <w:szCs w:val="21"/>
        </w:rPr>
        <w:t>地下一层建筑面积</w:t>
      </w:r>
      <w:r>
        <w:rPr>
          <w:lang w:val="zh-CN"/>
        </w:rPr>
        <w:t>与总用地面积的比率</w:t>
      </w:r>
      <w:r>
        <w:rPr>
          <w:bCs/>
          <w:i/>
          <w:szCs w:val="21"/>
        </w:rPr>
        <w:t>R</w:t>
      </w:r>
      <w:r>
        <w:rPr>
          <w:bCs/>
          <w:szCs w:val="21"/>
        </w:rPr>
        <w:t>p</w:t>
      </w:r>
      <w:r>
        <w:rPr>
          <w:bCs/>
          <w:szCs w:val="21"/>
          <w:vertAlign w:val="subscript"/>
        </w:rPr>
        <w:t>2</w:t>
      </w:r>
      <w:r>
        <w:rPr>
          <w:lang w:val="zh-CN"/>
        </w:rPr>
        <w:t>： %</w:t>
      </w:r>
    </w:p>
    <w:p>
      <w:pPr>
        <w:tabs>
          <w:tab w:val="left" w:pos="2702"/>
        </w:tabs>
        <w:spacing w:line="288" w:lineRule="auto"/>
        <w:rPr>
          <w:u w:val="single"/>
          <w:lang w:val="zh-CN"/>
        </w:rPr>
      </w:pPr>
      <w:r>
        <w:rPr>
          <w:lang w:val="zh-CN"/>
        </w:rPr>
        <w:t>地下空间主要功能为：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简要说明地下空间开发利用的设计说明：包括该建筑的场地区位、地质条件、地下空间功能分区以及地下空间开发利用的合理性。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1、总平面图：应</w:t>
      </w:r>
      <w:r>
        <w:rPr>
          <w:szCs w:val="21"/>
        </w:rPr>
        <w:t>包括总建筑面积、地上建筑面积、地下建筑面积、建筑占地面积等技术经济指标；</w:t>
      </w:r>
    </w:p>
    <w:p>
      <w:pPr>
        <w:spacing w:line="288" w:lineRule="auto"/>
      </w:pPr>
      <w:r>
        <w:t>2、地下空间建筑平面图：应体现地下空间功能分区及面积；</w:t>
      </w:r>
    </w:p>
    <w:p>
      <w:pPr>
        <w:spacing w:line="288" w:lineRule="auto"/>
      </w:pPr>
      <w:r>
        <w:t>3、地下空间不参评情况说明书：应论述项目不适宜开发地下空间的缘由，如场地区位和地质条件、建筑结构类型、建筑功能或性质确实不适宜开发地下空间等。（仅本条不参评项目提供）。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C1"/>
    <w:rsid w:val="00047F82"/>
    <w:rsid w:val="00640E02"/>
    <w:rsid w:val="009D6262"/>
    <w:rsid w:val="009F58D9"/>
    <w:rsid w:val="00A368C1"/>
    <w:rsid w:val="00C22253"/>
    <w:rsid w:val="6DD1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596</Characters>
  <Lines>4</Lines>
  <Paragraphs>1</Paragraphs>
  <TotalTime>1</TotalTime>
  <ScaleCrop>false</ScaleCrop>
  <LinksUpToDate>false</LinksUpToDate>
  <CharactersWithSpaces>609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2019-10-18T06:27:00Z</dcterms:created>
  <dc:creator>dongYP</dc:creator>
  <cp:lastModifiedBy>陈辉</cp:lastModifiedBy>
  <dcterms:modified xsi:type="dcterms:W3CDTF">2022-03-11T06:45:57Z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CE8A35FA1B5A43A7A34A9CEA2054762B</vt:lpwstr>
  </property>
</Properties>
</file>