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 xml:space="preserve">6.2.6 </w:t>
      </w:r>
      <w:r>
        <w:rPr>
          <w:rFonts w:hint="eastAsia" w:ascii="Times New Roman" w:hAnsi="Times New Roman"/>
        </w:rPr>
        <w:t>采取措施降低供暖空调系统输配系统的能耗。</w:t>
      </w:r>
      <w:r>
        <w:rPr>
          <w:rFonts w:ascii="Times New Roman" w:hAnsi="Times New Roman"/>
        </w:rPr>
        <w:t>（总分6分）</w:t>
      </w:r>
    </w:p>
    <w:p>
      <w:pPr>
        <w:spacing w:line="288" w:lineRule="auto"/>
        <w:rPr>
          <w:b/>
          <w:bCs/>
          <w:lang w:val="zh-CN"/>
        </w:rPr>
      </w:pPr>
      <w:r>
        <w:rPr>
          <w:b/>
          <w:bCs/>
          <w:lang w:val="zh-CN"/>
        </w:rPr>
        <w:t>不参评分：__</w:t>
      </w:r>
      <w:r>
        <w:rPr>
          <w:rFonts w:hint="eastAsia"/>
          <w:b/>
          <w:bCs/>
          <w:lang w:val="zh-CN"/>
        </w:rPr>
        <w:t>分</w:t>
      </w:r>
      <w:r>
        <w:rPr>
          <w:b/>
          <w:bCs/>
          <w:lang w:val="zh-CN"/>
        </w:rPr>
        <w:t>；本条得分：</w:t>
      </w:r>
      <w:r>
        <w:rPr>
          <w:rFonts w:hint="eastAsia"/>
          <w:b/>
          <w:bCs/>
          <w:lang w:val="en-US" w:eastAsia="zh-CN"/>
        </w:rPr>
        <w:t>6</w:t>
      </w:r>
      <w:r>
        <w:rPr>
          <w:b/>
          <w:bCs/>
        </w:rPr>
        <w:t>__</w:t>
      </w:r>
      <w:r>
        <w:rPr>
          <w:rFonts w:hint="eastAsia"/>
          <w:b/>
          <w:bCs/>
        </w:rPr>
        <w:t>分</w:t>
      </w:r>
      <w:r>
        <w:rPr>
          <w:b/>
          <w:bCs/>
          <w:lang w:val="zh-CN"/>
        </w:rPr>
        <w:t>；</w:t>
      </w:r>
    </w:p>
    <w:p>
      <w:pPr>
        <w:spacing w:line="288" w:lineRule="auto"/>
        <w:rPr>
          <w:b/>
          <w:bCs/>
          <w:lang w:val="zh-CN"/>
        </w:rPr>
      </w:pPr>
    </w:p>
    <w:p>
      <w:pPr>
        <w:tabs>
          <w:tab w:val="left" w:pos="420"/>
        </w:tabs>
        <w:spacing w:line="288" w:lineRule="auto"/>
        <w:rPr>
          <w:szCs w:val="21"/>
        </w:rPr>
      </w:pPr>
      <w:r>
        <w:rPr>
          <w:b/>
          <w:szCs w:val="21"/>
          <w:lang w:val="zh-CN"/>
        </w:rPr>
        <w:t>1）自评得分</w:t>
      </w:r>
    </w:p>
    <w:p>
      <w:pPr>
        <w:tabs>
          <w:tab w:val="left" w:pos="420"/>
        </w:tabs>
        <w:spacing w:line="288" w:lineRule="auto"/>
        <w:rPr>
          <w:szCs w:val="21"/>
        </w:rPr>
      </w:pPr>
      <w:sdt>
        <w:sdtPr>
          <w:rPr>
            <w:b/>
            <w:bCs/>
            <w:szCs w:val="21"/>
            <w:lang w:val="zh-CN"/>
          </w:rPr>
          <w:id w:val="118949422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b/>
          <w:szCs w:val="21"/>
          <w:lang w:val="zh-CN"/>
        </w:rPr>
        <w:t>不参评：</w:t>
      </w:r>
      <w:r>
        <w:rPr>
          <w:szCs w:val="21"/>
          <w:lang w:val="zh-CN"/>
        </w:rPr>
        <w:t>非集中空调或供暖</w:t>
      </w:r>
      <w:r>
        <w:rPr>
          <w:rFonts w:hint="eastAsia"/>
          <w:szCs w:val="21"/>
          <w:lang w:val="zh-CN"/>
        </w:rPr>
        <w:t>的建筑</w:t>
      </w:r>
    </w:p>
    <w:tbl>
      <w:tblPr>
        <w:tblStyle w:val="5"/>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173"/>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7" w:type="dxa"/>
            <w:vAlign w:val="center"/>
          </w:tcPr>
          <w:p>
            <w:pPr>
              <w:pStyle w:val="10"/>
              <w:ind w:firstLine="0" w:firstLineChars="0"/>
              <w:jc w:val="center"/>
              <w:rPr>
                <w:b/>
              </w:rPr>
            </w:pPr>
            <w:r>
              <w:rPr>
                <w:rFonts w:hint="eastAsia"/>
                <w:b/>
              </w:rPr>
              <w:t>序号</w:t>
            </w:r>
          </w:p>
        </w:tc>
        <w:tc>
          <w:tcPr>
            <w:tcW w:w="5173" w:type="dxa"/>
            <w:vAlign w:val="center"/>
          </w:tcPr>
          <w:p>
            <w:pPr>
              <w:pStyle w:val="10"/>
              <w:ind w:firstLine="0" w:firstLineChars="0"/>
              <w:jc w:val="center"/>
              <w:rPr>
                <w:b/>
              </w:rPr>
            </w:pPr>
            <w:r>
              <w:rPr>
                <w:b/>
              </w:rPr>
              <w:t>评价内容</w:t>
            </w:r>
          </w:p>
        </w:tc>
        <w:tc>
          <w:tcPr>
            <w:tcW w:w="1240" w:type="dxa"/>
            <w:vAlign w:val="center"/>
          </w:tcPr>
          <w:p>
            <w:pPr>
              <w:pStyle w:val="10"/>
              <w:ind w:firstLine="0" w:firstLineChars="0"/>
              <w:jc w:val="center"/>
              <w:rPr>
                <w:b/>
              </w:rPr>
            </w:pPr>
            <w:r>
              <w:rPr>
                <w:b/>
              </w:rPr>
              <w:t>评价分值</w:t>
            </w:r>
          </w:p>
        </w:tc>
        <w:tc>
          <w:tcPr>
            <w:tcW w:w="1240" w:type="dxa"/>
            <w:vAlign w:val="center"/>
          </w:tcPr>
          <w:p>
            <w:pPr>
              <w:pStyle w:val="10"/>
              <w:ind w:firstLine="0" w:firstLineChars="0"/>
              <w:jc w:val="center"/>
              <w:rPr>
                <w:b/>
              </w:rPr>
            </w:pPr>
            <w:r>
              <w:rPr>
                <w:b/>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17" w:type="dxa"/>
            <w:vAlign w:val="center"/>
          </w:tcPr>
          <w:p>
            <w:pPr>
              <w:pStyle w:val="10"/>
              <w:ind w:firstLine="0" w:firstLineChars="0"/>
              <w:jc w:val="center"/>
            </w:pPr>
            <w:r>
              <w:rPr>
                <w:rFonts w:hint="eastAsia"/>
              </w:rPr>
              <w:t>1</w:t>
            </w:r>
          </w:p>
        </w:tc>
        <w:tc>
          <w:tcPr>
            <w:tcW w:w="5173" w:type="dxa"/>
            <w:vAlign w:val="center"/>
          </w:tcPr>
          <w:p>
            <w:pPr>
              <w:pStyle w:val="10"/>
              <w:ind w:firstLine="0" w:firstLineChars="0"/>
            </w:pPr>
            <w:r>
              <w:rPr>
                <w:rFonts w:hint="eastAsia"/>
              </w:rPr>
              <w:t>集中供暖系统热水循环泵的耗电输热比和风道系统的单位风量耗功率符合现行国家标准《公共建筑节能 设计标准》GB 50189等的有关规定</w:t>
            </w:r>
          </w:p>
        </w:tc>
        <w:tc>
          <w:tcPr>
            <w:tcW w:w="1240" w:type="dxa"/>
            <w:vAlign w:val="center"/>
          </w:tcPr>
          <w:p>
            <w:pPr>
              <w:pStyle w:val="10"/>
              <w:ind w:firstLine="0" w:firstLineChars="0"/>
              <w:jc w:val="center"/>
            </w:pPr>
            <w:r>
              <w:t>3</w:t>
            </w:r>
          </w:p>
        </w:tc>
        <w:tc>
          <w:tcPr>
            <w:tcW w:w="1240" w:type="dxa"/>
            <w:vAlign w:val="center"/>
          </w:tcPr>
          <w:p>
            <w:pPr>
              <w:pStyle w:val="10"/>
              <w:ind w:firstLine="0" w:firstLineChars="0"/>
              <w:jc w:val="center"/>
              <w:rPr>
                <w:rFonts w:hint="eastAsia" w:eastAsia="宋体"/>
                <w:b/>
                <w:highlight w:val="yellow"/>
                <w:lang w:val="en-US" w:eastAsia="zh-CN"/>
              </w:rPr>
            </w:pPr>
            <w:r>
              <w:rPr>
                <w:rFonts w:hint="eastAsia"/>
                <w:b/>
                <w:highlight w:val="yellow"/>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17" w:type="dxa"/>
            <w:vAlign w:val="center"/>
          </w:tcPr>
          <w:p>
            <w:pPr>
              <w:pStyle w:val="10"/>
              <w:ind w:firstLine="0" w:firstLineChars="0"/>
              <w:jc w:val="center"/>
            </w:pPr>
            <w:r>
              <w:rPr>
                <w:rFonts w:hint="eastAsia"/>
              </w:rPr>
              <w:t>2</w:t>
            </w:r>
          </w:p>
        </w:tc>
        <w:tc>
          <w:tcPr>
            <w:tcW w:w="5173" w:type="dxa"/>
            <w:vAlign w:val="center"/>
          </w:tcPr>
          <w:p>
            <w:pPr>
              <w:pStyle w:val="10"/>
              <w:ind w:firstLine="0" w:firstLineChars="0"/>
            </w:pPr>
            <w:r>
              <w:rPr>
                <w:rFonts w:hint="eastAsia"/>
              </w:rPr>
              <w:t>空调冷热水系统循环水泵的耗电输冷（热）比比现行国家标准《民用建筑供暖通风与空气调节设计规范》GB 50736的规定值低20%</w:t>
            </w:r>
          </w:p>
        </w:tc>
        <w:tc>
          <w:tcPr>
            <w:tcW w:w="1240" w:type="dxa"/>
            <w:vAlign w:val="center"/>
          </w:tcPr>
          <w:p>
            <w:pPr>
              <w:pStyle w:val="10"/>
              <w:ind w:firstLine="0" w:firstLineChars="0"/>
              <w:jc w:val="center"/>
            </w:pPr>
            <w:r>
              <w:rPr>
                <w:rFonts w:hint="eastAsia"/>
              </w:rPr>
              <w:t>3</w:t>
            </w:r>
          </w:p>
        </w:tc>
        <w:tc>
          <w:tcPr>
            <w:tcW w:w="1240" w:type="dxa"/>
            <w:vAlign w:val="center"/>
          </w:tcPr>
          <w:p>
            <w:pPr>
              <w:pStyle w:val="10"/>
              <w:ind w:firstLine="0" w:firstLineChars="0"/>
              <w:jc w:val="center"/>
              <w:rPr>
                <w:rFonts w:hint="eastAsia" w:eastAsia="宋体"/>
                <w:b/>
                <w:highlight w:val="yellow"/>
                <w:lang w:val="en-US" w:eastAsia="zh-CN"/>
              </w:rPr>
            </w:pPr>
            <w:r>
              <w:rPr>
                <w:rFonts w:hint="eastAsia"/>
                <w:b/>
                <w:highlight w:val="yellow"/>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990" w:type="dxa"/>
            <w:gridSpan w:val="2"/>
            <w:vAlign w:val="center"/>
          </w:tcPr>
          <w:p>
            <w:pPr>
              <w:pStyle w:val="10"/>
              <w:ind w:firstLine="0" w:firstLineChars="0"/>
              <w:jc w:val="center"/>
            </w:pPr>
            <w:r>
              <w:rPr>
                <w:rFonts w:hint="eastAsia"/>
              </w:rPr>
              <w:t>合计</w:t>
            </w:r>
          </w:p>
        </w:tc>
        <w:tc>
          <w:tcPr>
            <w:tcW w:w="1240" w:type="dxa"/>
            <w:vAlign w:val="center"/>
          </w:tcPr>
          <w:p>
            <w:pPr>
              <w:pStyle w:val="10"/>
              <w:ind w:firstLine="0" w:firstLineChars="0"/>
              <w:jc w:val="center"/>
            </w:pPr>
            <w:r>
              <w:rPr>
                <w:rFonts w:hint="eastAsia"/>
              </w:rPr>
              <w:t>6</w:t>
            </w:r>
          </w:p>
        </w:tc>
        <w:tc>
          <w:tcPr>
            <w:tcW w:w="1240" w:type="dxa"/>
            <w:vAlign w:val="center"/>
          </w:tcPr>
          <w:p>
            <w:pPr>
              <w:pStyle w:val="10"/>
              <w:ind w:firstLine="0" w:firstLineChars="0"/>
              <w:jc w:val="center"/>
              <w:rPr>
                <w:rFonts w:hint="eastAsia" w:eastAsia="宋体"/>
                <w:b/>
                <w:lang w:val="en-US" w:eastAsia="zh-CN"/>
              </w:rPr>
            </w:pPr>
            <w:r>
              <w:rPr>
                <w:rFonts w:hint="eastAsia"/>
                <w:b/>
                <w:lang w:val="en-US" w:eastAsia="zh-CN"/>
              </w:rPr>
              <w:t>6</w:t>
            </w:r>
            <w:bookmarkStart w:id="0" w:name="_GoBack"/>
            <w:bookmarkEnd w:id="0"/>
          </w:p>
        </w:tc>
      </w:tr>
    </w:tbl>
    <w:p>
      <w:pPr>
        <w:jc w:val="left"/>
        <w:rPr>
          <w:b/>
          <w:sz w:val="24"/>
        </w:rPr>
      </w:pPr>
    </w:p>
    <w:p>
      <w:pPr>
        <w:tabs>
          <w:tab w:val="left" w:pos="420"/>
        </w:tabs>
        <w:spacing w:line="288" w:lineRule="auto"/>
        <w:rPr>
          <w:b/>
          <w:szCs w:val="21"/>
          <w:lang w:val="zh-CN"/>
        </w:rPr>
      </w:pPr>
      <w:r>
        <w:rPr>
          <w:b/>
          <w:szCs w:val="21"/>
          <w:lang w:val="zh-CN"/>
        </w:rPr>
        <w:t>2）评价要点</w:t>
      </w:r>
    </w:p>
    <w:p>
      <w:pPr>
        <w:spacing w:line="288" w:lineRule="auto"/>
      </w:pPr>
      <w:r>
        <w:t>供暖系统热水循环泵的耗电输热比：__________________。</w:t>
      </w:r>
    </w:p>
    <w:p>
      <w:pPr>
        <w:spacing w:line="288" w:lineRule="auto"/>
      </w:pPr>
      <w:r>
        <w:t>通风空调系统风机单位风量耗功率：</w:t>
      </w:r>
    </w:p>
    <w:tbl>
      <w:tblPr>
        <w:tblStyle w:val="5"/>
        <w:tblW w:w="8522" w:type="dxa"/>
        <w:jc w:val="center"/>
        <w:tblLayout w:type="fixed"/>
        <w:tblCellMar>
          <w:top w:w="0" w:type="dxa"/>
          <w:left w:w="108" w:type="dxa"/>
          <w:bottom w:w="0" w:type="dxa"/>
          <w:right w:w="108" w:type="dxa"/>
        </w:tblCellMar>
      </w:tblPr>
      <w:tblGrid>
        <w:gridCol w:w="2121"/>
        <w:gridCol w:w="2120"/>
        <w:gridCol w:w="4281"/>
      </w:tblGrid>
      <w:tr>
        <w:tblPrEx>
          <w:tblCellMar>
            <w:top w:w="0" w:type="dxa"/>
            <w:left w:w="108" w:type="dxa"/>
            <w:bottom w:w="0" w:type="dxa"/>
            <w:right w:w="108" w:type="dxa"/>
          </w:tblCellMar>
        </w:tblPrEx>
        <w:trPr>
          <w:cantSplit/>
          <w:trHeight w:val="299"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18"/>
              </w:rPr>
            </w:pPr>
            <w:r>
              <w:rPr>
                <w:kern w:val="0"/>
                <w:szCs w:val="18"/>
              </w:rPr>
              <w:t>设备类型</w:t>
            </w:r>
          </w:p>
        </w:tc>
        <w:tc>
          <w:tcPr>
            <w:tcW w:w="2120" w:type="dxa"/>
            <w:tcBorders>
              <w:top w:val="single" w:color="auto" w:sz="4" w:space="0"/>
              <w:left w:val="nil"/>
              <w:bottom w:val="single" w:color="auto" w:sz="4" w:space="0"/>
              <w:right w:val="single" w:color="auto" w:sz="4" w:space="0"/>
            </w:tcBorders>
            <w:vAlign w:val="center"/>
          </w:tcPr>
          <w:p>
            <w:pPr>
              <w:widowControl/>
              <w:jc w:val="center"/>
              <w:rPr>
                <w:kern w:val="0"/>
                <w:szCs w:val="18"/>
              </w:rPr>
            </w:pPr>
            <w:r>
              <w:rPr>
                <w:kern w:val="0"/>
                <w:szCs w:val="18"/>
              </w:rPr>
              <w:t>设备编号</w:t>
            </w:r>
          </w:p>
        </w:tc>
        <w:tc>
          <w:tcPr>
            <w:tcW w:w="4281" w:type="dxa"/>
            <w:tcBorders>
              <w:top w:val="single" w:color="auto" w:sz="4" w:space="0"/>
              <w:left w:val="nil"/>
              <w:bottom w:val="single" w:color="auto" w:sz="4" w:space="0"/>
              <w:right w:val="single" w:color="auto" w:sz="4" w:space="0"/>
            </w:tcBorders>
            <w:vAlign w:val="center"/>
          </w:tcPr>
          <w:p>
            <w:pPr>
              <w:widowControl/>
              <w:jc w:val="center"/>
              <w:rPr>
                <w:kern w:val="0"/>
                <w:szCs w:val="18"/>
              </w:rPr>
            </w:pPr>
            <w:r>
              <w:rPr>
                <w:kern w:val="0"/>
                <w:szCs w:val="18"/>
              </w:rPr>
              <w:t>风机的单位风量耗功率</w:t>
            </w:r>
          </w:p>
        </w:tc>
      </w:tr>
      <w:tr>
        <w:tblPrEx>
          <w:tblCellMar>
            <w:top w:w="0" w:type="dxa"/>
            <w:left w:w="108" w:type="dxa"/>
            <w:bottom w:w="0" w:type="dxa"/>
            <w:right w:w="108" w:type="dxa"/>
          </w:tblCellMar>
        </w:tblPrEx>
        <w:trPr>
          <w:cantSplit/>
          <w:trHeight w:val="312" w:hRule="atLeast"/>
          <w:jc w:val="center"/>
        </w:trPr>
        <w:tc>
          <w:tcPr>
            <w:tcW w:w="2121" w:type="dxa"/>
            <w:tcBorders>
              <w:top w:val="nil"/>
              <w:left w:val="single" w:color="auto" w:sz="4" w:space="0"/>
              <w:bottom w:val="single" w:color="auto" w:sz="4" w:space="0"/>
              <w:right w:val="single" w:color="auto" w:sz="4" w:space="0"/>
            </w:tcBorders>
            <w:vAlign w:val="center"/>
          </w:tcPr>
          <w:p>
            <w:pPr>
              <w:widowControl/>
              <w:jc w:val="center"/>
              <w:rPr>
                <w:kern w:val="0"/>
                <w:szCs w:val="18"/>
              </w:rPr>
            </w:pPr>
          </w:p>
        </w:tc>
        <w:tc>
          <w:tcPr>
            <w:tcW w:w="2120" w:type="dxa"/>
            <w:tcBorders>
              <w:top w:val="nil"/>
              <w:left w:val="nil"/>
              <w:bottom w:val="single" w:color="auto" w:sz="4" w:space="0"/>
              <w:right w:val="single" w:color="auto" w:sz="4" w:space="0"/>
            </w:tcBorders>
            <w:vAlign w:val="center"/>
          </w:tcPr>
          <w:p>
            <w:pPr>
              <w:widowControl/>
              <w:jc w:val="center"/>
              <w:rPr>
                <w:kern w:val="0"/>
                <w:szCs w:val="18"/>
              </w:rPr>
            </w:pPr>
          </w:p>
        </w:tc>
        <w:tc>
          <w:tcPr>
            <w:tcW w:w="4281" w:type="dxa"/>
            <w:tcBorders>
              <w:top w:val="nil"/>
              <w:left w:val="nil"/>
              <w:bottom w:val="single" w:color="auto" w:sz="4" w:space="0"/>
              <w:right w:val="single" w:color="auto" w:sz="4" w:space="0"/>
            </w:tcBorders>
            <w:vAlign w:val="center"/>
          </w:tcPr>
          <w:p>
            <w:pPr>
              <w:widowControl/>
              <w:jc w:val="center"/>
              <w:rPr>
                <w:kern w:val="0"/>
                <w:szCs w:val="18"/>
              </w:rPr>
            </w:pPr>
          </w:p>
        </w:tc>
      </w:tr>
      <w:tr>
        <w:tblPrEx>
          <w:tblCellMar>
            <w:top w:w="0" w:type="dxa"/>
            <w:left w:w="108" w:type="dxa"/>
            <w:bottom w:w="0" w:type="dxa"/>
            <w:right w:w="108" w:type="dxa"/>
          </w:tblCellMar>
        </w:tblPrEx>
        <w:trPr>
          <w:cantSplit/>
          <w:trHeight w:val="312" w:hRule="atLeast"/>
          <w:jc w:val="center"/>
        </w:trPr>
        <w:tc>
          <w:tcPr>
            <w:tcW w:w="2121" w:type="dxa"/>
            <w:tcBorders>
              <w:top w:val="nil"/>
              <w:left w:val="single" w:color="auto" w:sz="4" w:space="0"/>
              <w:bottom w:val="single" w:color="auto" w:sz="4" w:space="0"/>
              <w:right w:val="single" w:color="auto" w:sz="4" w:space="0"/>
            </w:tcBorders>
            <w:vAlign w:val="center"/>
          </w:tcPr>
          <w:p>
            <w:pPr>
              <w:widowControl/>
              <w:jc w:val="center"/>
              <w:rPr>
                <w:kern w:val="0"/>
                <w:szCs w:val="18"/>
              </w:rPr>
            </w:pPr>
          </w:p>
        </w:tc>
        <w:tc>
          <w:tcPr>
            <w:tcW w:w="2120" w:type="dxa"/>
            <w:tcBorders>
              <w:top w:val="nil"/>
              <w:left w:val="nil"/>
              <w:bottom w:val="single" w:color="auto" w:sz="4" w:space="0"/>
              <w:right w:val="single" w:color="auto" w:sz="4" w:space="0"/>
            </w:tcBorders>
            <w:vAlign w:val="center"/>
          </w:tcPr>
          <w:p>
            <w:pPr>
              <w:widowControl/>
              <w:jc w:val="center"/>
              <w:rPr>
                <w:kern w:val="0"/>
                <w:szCs w:val="18"/>
              </w:rPr>
            </w:pPr>
          </w:p>
        </w:tc>
        <w:tc>
          <w:tcPr>
            <w:tcW w:w="4281" w:type="dxa"/>
            <w:tcBorders>
              <w:top w:val="nil"/>
              <w:left w:val="nil"/>
              <w:bottom w:val="single" w:color="auto" w:sz="4" w:space="0"/>
              <w:right w:val="single" w:color="auto" w:sz="4" w:space="0"/>
            </w:tcBorders>
            <w:vAlign w:val="center"/>
          </w:tcPr>
          <w:p>
            <w:pPr>
              <w:widowControl/>
              <w:jc w:val="center"/>
              <w:rPr>
                <w:kern w:val="0"/>
                <w:szCs w:val="18"/>
              </w:rPr>
            </w:pPr>
          </w:p>
        </w:tc>
      </w:tr>
      <w:tr>
        <w:tblPrEx>
          <w:tblCellMar>
            <w:top w:w="0" w:type="dxa"/>
            <w:left w:w="108" w:type="dxa"/>
            <w:bottom w:w="0" w:type="dxa"/>
            <w:right w:w="108" w:type="dxa"/>
          </w:tblCellMar>
        </w:tblPrEx>
        <w:trPr>
          <w:cantSplit/>
          <w:trHeight w:val="312" w:hRule="atLeast"/>
          <w:jc w:val="center"/>
        </w:trPr>
        <w:tc>
          <w:tcPr>
            <w:tcW w:w="2121" w:type="dxa"/>
            <w:tcBorders>
              <w:top w:val="nil"/>
              <w:left w:val="single" w:color="auto" w:sz="4" w:space="0"/>
              <w:bottom w:val="single" w:color="auto" w:sz="4" w:space="0"/>
              <w:right w:val="single" w:color="auto" w:sz="4" w:space="0"/>
            </w:tcBorders>
            <w:vAlign w:val="center"/>
          </w:tcPr>
          <w:p>
            <w:pPr>
              <w:widowControl/>
              <w:jc w:val="center"/>
              <w:rPr>
                <w:kern w:val="0"/>
                <w:szCs w:val="18"/>
              </w:rPr>
            </w:pPr>
          </w:p>
        </w:tc>
        <w:tc>
          <w:tcPr>
            <w:tcW w:w="2120" w:type="dxa"/>
            <w:tcBorders>
              <w:top w:val="nil"/>
              <w:left w:val="nil"/>
              <w:bottom w:val="single" w:color="auto" w:sz="4" w:space="0"/>
              <w:right w:val="single" w:color="auto" w:sz="4" w:space="0"/>
            </w:tcBorders>
            <w:vAlign w:val="center"/>
          </w:tcPr>
          <w:p>
            <w:pPr>
              <w:widowControl/>
              <w:jc w:val="center"/>
              <w:rPr>
                <w:kern w:val="0"/>
                <w:szCs w:val="18"/>
              </w:rPr>
            </w:pPr>
          </w:p>
        </w:tc>
        <w:tc>
          <w:tcPr>
            <w:tcW w:w="4281" w:type="dxa"/>
            <w:tcBorders>
              <w:top w:val="nil"/>
              <w:left w:val="nil"/>
              <w:bottom w:val="single" w:color="auto" w:sz="4" w:space="0"/>
              <w:right w:val="single" w:color="auto" w:sz="4" w:space="0"/>
            </w:tcBorders>
            <w:vAlign w:val="center"/>
          </w:tcPr>
          <w:p>
            <w:pPr>
              <w:widowControl/>
              <w:jc w:val="center"/>
              <w:rPr>
                <w:kern w:val="0"/>
                <w:szCs w:val="18"/>
              </w:rPr>
            </w:pPr>
          </w:p>
        </w:tc>
      </w:tr>
      <w:tr>
        <w:tblPrEx>
          <w:tblCellMar>
            <w:top w:w="0" w:type="dxa"/>
            <w:left w:w="108" w:type="dxa"/>
            <w:bottom w:w="0" w:type="dxa"/>
            <w:right w:w="108" w:type="dxa"/>
          </w:tblCellMar>
        </w:tblPrEx>
        <w:trPr>
          <w:cantSplit/>
          <w:trHeight w:val="312" w:hRule="atLeast"/>
          <w:jc w:val="center"/>
        </w:trPr>
        <w:tc>
          <w:tcPr>
            <w:tcW w:w="2121" w:type="dxa"/>
            <w:tcBorders>
              <w:top w:val="nil"/>
              <w:left w:val="single" w:color="auto" w:sz="4" w:space="0"/>
              <w:bottom w:val="single" w:color="auto" w:sz="4" w:space="0"/>
              <w:right w:val="single" w:color="auto" w:sz="4" w:space="0"/>
            </w:tcBorders>
            <w:vAlign w:val="center"/>
          </w:tcPr>
          <w:p>
            <w:pPr>
              <w:widowControl/>
              <w:jc w:val="center"/>
              <w:rPr>
                <w:kern w:val="0"/>
                <w:szCs w:val="18"/>
              </w:rPr>
            </w:pPr>
          </w:p>
        </w:tc>
        <w:tc>
          <w:tcPr>
            <w:tcW w:w="2120" w:type="dxa"/>
            <w:tcBorders>
              <w:top w:val="nil"/>
              <w:left w:val="nil"/>
              <w:bottom w:val="single" w:color="auto" w:sz="4" w:space="0"/>
              <w:right w:val="single" w:color="auto" w:sz="4" w:space="0"/>
            </w:tcBorders>
            <w:vAlign w:val="center"/>
          </w:tcPr>
          <w:p>
            <w:pPr>
              <w:widowControl/>
              <w:jc w:val="center"/>
              <w:rPr>
                <w:kern w:val="0"/>
                <w:szCs w:val="18"/>
              </w:rPr>
            </w:pPr>
          </w:p>
        </w:tc>
        <w:tc>
          <w:tcPr>
            <w:tcW w:w="4281" w:type="dxa"/>
            <w:tcBorders>
              <w:top w:val="nil"/>
              <w:left w:val="nil"/>
              <w:bottom w:val="single" w:color="auto" w:sz="4" w:space="0"/>
              <w:right w:val="single" w:color="auto" w:sz="4" w:space="0"/>
            </w:tcBorders>
            <w:vAlign w:val="center"/>
          </w:tcPr>
          <w:p>
            <w:pPr>
              <w:widowControl/>
              <w:jc w:val="center"/>
              <w:rPr>
                <w:kern w:val="0"/>
                <w:szCs w:val="18"/>
              </w:rPr>
            </w:pPr>
          </w:p>
        </w:tc>
      </w:tr>
    </w:tbl>
    <w:p>
      <w:pPr>
        <w:spacing w:line="288" w:lineRule="auto"/>
      </w:pPr>
      <w:r>
        <w:t>空调冷热水系统循环水泵的耗电输冷（热）比：</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4"/>
        <w:gridCol w:w="2369"/>
        <w:gridCol w:w="113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5" w:type="dxa"/>
            <w:vAlign w:val="center"/>
          </w:tcPr>
          <w:p>
            <w:pPr>
              <w:spacing w:line="288" w:lineRule="auto"/>
              <w:jc w:val="center"/>
              <w:rPr>
                <w:kern w:val="0"/>
                <w:szCs w:val="18"/>
              </w:rPr>
            </w:pPr>
            <w:r>
              <w:rPr>
                <w:kern w:val="0"/>
                <w:szCs w:val="18"/>
              </w:rPr>
              <w:t>设备类型</w:t>
            </w:r>
          </w:p>
        </w:tc>
        <w:tc>
          <w:tcPr>
            <w:tcW w:w="1704" w:type="dxa"/>
            <w:vAlign w:val="center"/>
          </w:tcPr>
          <w:p>
            <w:pPr>
              <w:widowControl/>
              <w:jc w:val="center"/>
              <w:rPr>
                <w:kern w:val="0"/>
                <w:szCs w:val="18"/>
              </w:rPr>
            </w:pPr>
            <w:r>
              <w:rPr>
                <w:kern w:val="0"/>
                <w:szCs w:val="18"/>
              </w:rPr>
              <w:t>设备编号</w:t>
            </w:r>
          </w:p>
        </w:tc>
        <w:tc>
          <w:tcPr>
            <w:tcW w:w="2369" w:type="dxa"/>
            <w:vAlign w:val="center"/>
          </w:tcPr>
          <w:p>
            <w:pPr>
              <w:widowControl/>
              <w:jc w:val="center"/>
              <w:rPr>
                <w:kern w:val="0"/>
                <w:szCs w:val="18"/>
              </w:rPr>
            </w:pPr>
            <w:r>
              <w:rPr>
                <w:kern w:val="0"/>
                <w:szCs w:val="18"/>
              </w:rPr>
              <w:t>空调冷热水系统循环水泵的耗电输冷（热）比</w:t>
            </w:r>
          </w:p>
        </w:tc>
        <w:tc>
          <w:tcPr>
            <w:tcW w:w="1133" w:type="dxa"/>
            <w:vAlign w:val="center"/>
          </w:tcPr>
          <w:p>
            <w:pPr>
              <w:widowControl/>
              <w:jc w:val="center"/>
              <w:rPr>
                <w:kern w:val="0"/>
                <w:szCs w:val="18"/>
              </w:rPr>
            </w:pPr>
            <w:r>
              <w:rPr>
                <w:kern w:val="0"/>
                <w:szCs w:val="18"/>
              </w:rPr>
              <w:t>标准要求</w:t>
            </w:r>
          </w:p>
        </w:tc>
        <w:tc>
          <w:tcPr>
            <w:tcW w:w="1611" w:type="dxa"/>
            <w:vAlign w:val="center"/>
          </w:tcPr>
          <w:p>
            <w:pPr>
              <w:widowControl/>
              <w:jc w:val="center"/>
              <w:rPr>
                <w:kern w:val="0"/>
                <w:szCs w:val="18"/>
              </w:rPr>
            </w:pPr>
            <w:r>
              <w:rPr>
                <w:kern w:val="0"/>
                <w:szCs w:val="18"/>
              </w:rPr>
              <w:t>数值降低比例</w:t>
            </w:r>
          </w:p>
          <w:p>
            <w:pPr>
              <w:widowControl/>
              <w:jc w:val="center"/>
              <w:rPr>
                <w:kern w:val="0"/>
                <w:szCs w:val="18"/>
              </w:rPr>
            </w:pPr>
            <w:r>
              <w:rPr>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5" w:type="dxa"/>
            <w:vAlign w:val="center"/>
          </w:tcPr>
          <w:p>
            <w:pPr>
              <w:widowControl/>
              <w:jc w:val="center"/>
              <w:rPr>
                <w:kern w:val="0"/>
                <w:szCs w:val="18"/>
              </w:rPr>
            </w:pPr>
          </w:p>
        </w:tc>
        <w:tc>
          <w:tcPr>
            <w:tcW w:w="1704" w:type="dxa"/>
            <w:vAlign w:val="center"/>
          </w:tcPr>
          <w:p>
            <w:pPr>
              <w:widowControl/>
              <w:jc w:val="center"/>
              <w:rPr>
                <w:kern w:val="0"/>
                <w:szCs w:val="18"/>
              </w:rPr>
            </w:pPr>
          </w:p>
        </w:tc>
        <w:tc>
          <w:tcPr>
            <w:tcW w:w="2369" w:type="dxa"/>
            <w:vAlign w:val="center"/>
          </w:tcPr>
          <w:p>
            <w:pPr>
              <w:widowControl/>
              <w:jc w:val="center"/>
              <w:rPr>
                <w:kern w:val="0"/>
                <w:szCs w:val="18"/>
              </w:rPr>
            </w:pPr>
          </w:p>
        </w:tc>
        <w:tc>
          <w:tcPr>
            <w:tcW w:w="1133" w:type="dxa"/>
          </w:tcPr>
          <w:p>
            <w:pPr>
              <w:widowControl/>
              <w:jc w:val="center"/>
              <w:rPr>
                <w:kern w:val="0"/>
                <w:szCs w:val="18"/>
              </w:rPr>
            </w:pPr>
          </w:p>
        </w:tc>
        <w:tc>
          <w:tcPr>
            <w:tcW w:w="1611" w:type="dxa"/>
          </w:tcPr>
          <w:p>
            <w:pPr>
              <w:widowControl/>
              <w:jc w:val="center"/>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5" w:type="dxa"/>
            <w:vAlign w:val="center"/>
          </w:tcPr>
          <w:p>
            <w:pPr>
              <w:widowControl/>
              <w:jc w:val="center"/>
              <w:rPr>
                <w:kern w:val="0"/>
                <w:szCs w:val="18"/>
              </w:rPr>
            </w:pPr>
          </w:p>
        </w:tc>
        <w:tc>
          <w:tcPr>
            <w:tcW w:w="1704" w:type="dxa"/>
            <w:vAlign w:val="center"/>
          </w:tcPr>
          <w:p>
            <w:pPr>
              <w:widowControl/>
              <w:jc w:val="center"/>
              <w:rPr>
                <w:kern w:val="0"/>
                <w:szCs w:val="18"/>
              </w:rPr>
            </w:pPr>
          </w:p>
        </w:tc>
        <w:tc>
          <w:tcPr>
            <w:tcW w:w="2369" w:type="dxa"/>
            <w:vAlign w:val="center"/>
          </w:tcPr>
          <w:p>
            <w:pPr>
              <w:widowControl/>
              <w:jc w:val="center"/>
              <w:rPr>
                <w:kern w:val="0"/>
                <w:szCs w:val="18"/>
              </w:rPr>
            </w:pPr>
          </w:p>
        </w:tc>
        <w:tc>
          <w:tcPr>
            <w:tcW w:w="1133" w:type="dxa"/>
          </w:tcPr>
          <w:p>
            <w:pPr>
              <w:widowControl/>
              <w:jc w:val="center"/>
              <w:rPr>
                <w:kern w:val="0"/>
                <w:szCs w:val="18"/>
              </w:rPr>
            </w:pPr>
          </w:p>
        </w:tc>
        <w:tc>
          <w:tcPr>
            <w:tcW w:w="1611" w:type="dxa"/>
          </w:tcPr>
          <w:p>
            <w:pPr>
              <w:widowControl/>
              <w:jc w:val="center"/>
              <w:rPr>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5" w:type="dxa"/>
            <w:vAlign w:val="center"/>
          </w:tcPr>
          <w:p>
            <w:pPr>
              <w:widowControl/>
              <w:jc w:val="center"/>
              <w:rPr>
                <w:kern w:val="0"/>
                <w:szCs w:val="18"/>
              </w:rPr>
            </w:pPr>
          </w:p>
        </w:tc>
        <w:tc>
          <w:tcPr>
            <w:tcW w:w="1704" w:type="dxa"/>
            <w:vAlign w:val="center"/>
          </w:tcPr>
          <w:p>
            <w:pPr>
              <w:widowControl/>
              <w:jc w:val="center"/>
              <w:rPr>
                <w:kern w:val="0"/>
                <w:szCs w:val="18"/>
              </w:rPr>
            </w:pPr>
          </w:p>
        </w:tc>
        <w:tc>
          <w:tcPr>
            <w:tcW w:w="2369" w:type="dxa"/>
            <w:vAlign w:val="center"/>
          </w:tcPr>
          <w:p>
            <w:pPr>
              <w:widowControl/>
              <w:jc w:val="center"/>
              <w:rPr>
                <w:kern w:val="0"/>
                <w:szCs w:val="18"/>
              </w:rPr>
            </w:pPr>
          </w:p>
        </w:tc>
        <w:tc>
          <w:tcPr>
            <w:tcW w:w="1133" w:type="dxa"/>
          </w:tcPr>
          <w:p>
            <w:pPr>
              <w:widowControl/>
              <w:jc w:val="center"/>
              <w:rPr>
                <w:kern w:val="0"/>
                <w:szCs w:val="18"/>
              </w:rPr>
            </w:pPr>
          </w:p>
        </w:tc>
        <w:tc>
          <w:tcPr>
            <w:tcW w:w="1611" w:type="dxa"/>
          </w:tcPr>
          <w:p>
            <w:pPr>
              <w:widowControl/>
              <w:jc w:val="center"/>
              <w:rPr>
                <w:kern w:val="0"/>
                <w:szCs w:val="18"/>
              </w:rPr>
            </w:pPr>
          </w:p>
        </w:tc>
      </w:tr>
    </w:tbl>
    <w:p>
      <w:pPr>
        <w:jc w:val="left"/>
        <w:rPr>
          <w:b/>
          <w:sz w:val="24"/>
        </w:rPr>
      </w:pPr>
    </w:p>
    <w:p>
      <w:pPr>
        <w:tabs>
          <w:tab w:val="left" w:pos="420"/>
        </w:tabs>
        <w:spacing w:line="288" w:lineRule="auto"/>
        <w:rPr>
          <w:b/>
          <w:bCs/>
          <w:lang w:val="zh-CN"/>
        </w:rPr>
      </w:pPr>
      <w:r>
        <w:rPr>
          <w:b/>
          <w:bCs/>
          <w:lang w:val="zh-CN"/>
        </w:rPr>
        <w:t>3）证明材料</w:t>
      </w:r>
    </w:p>
    <w:p>
      <w:pPr>
        <w:pStyle w:val="11"/>
        <w:spacing w:line="288" w:lineRule="auto"/>
        <w:outlineLvl w:val="9"/>
        <w:rPr>
          <w:b/>
          <w:sz w:val="21"/>
          <w:szCs w:val="21"/>
        </w:rPr>
      </w:pPr>
      <w:r>
        <w:rPr>
          <w:b/>
          <w:sz w:val="21"/>
          <w:szCs w:val="21"/>
        </w:rPr>
        <w:t>提交材料及要求：</w:t>
      </w:r>
    </w:p>
    <w:p>
      <w:pPr>
        <w:pStyle w:val="11"/>
        <w:spacing w:line="288" w:lineRule="auto"/>
        <w:outlineLvl w:val="9"/>
        <w:rPr>
          <w:sz w:val="21"/>
          <w:szCs w:val="21"/>
        </w:rPr>
      </w:pPr>
      <w:r>
        <w:rPr>
          <w:sz w:val="21"/>
          <w:szCs w:val="21"/>
        </w:rPr>
        <w:t>1、暖通施工图设备清单：应有通风空调系统风机</w:t>
      </w:r>
      <w:r>
        <w:rPr>
          <w:rFonts w:hint="eastAsia"/>
          <w:sz w:val="21"/>
          <w:szCs w:val="21"/>
        </w:rPr>
        <w:t>、水泵</w:t>
      </w:r>
      <w:r>
        <w:rPr>
          <w:sz w:val="21"/>
          <w:szCs w:val="21"/>
        </w:rPr>
        <w:t>的详细参数；</w:t>
      </w:r>
    </w:p>
    <w:p>
      <w:pPr>
        <w:pStyle w:val="11"/>
        <w:spacing w:line="288" w:lineRule="auto"/>
        <w:outlineLvl w:val="9"/>
        <w:rPr>
          <w:sz w:val="21"/>
          <w:szCs w:val="21"/>
        </w:rPr>
      </w:pPr>
      <w:r>
        <w:rPr>
          <w:sz w:val="21"/>
          <w:szCs w:val="21"/>
        </w:rPr>
        <w:t>2、暖通施工图设计说明：应有风机的单位风量耗功率、空调冷热水系统的耗电输冷（热）比、集中供暖系统热水循环泵的耗电输热比的计算说明，若设计说明中缺少相关数据，则须提供相应计算书。</w:t>
      </w:r>
    </w:p>
    <w:p>
      <w:pPr>
        <w:spacing w:line="288" w:lineRule="auto"/>
        <w:rPr>
          <w:b/>
        </w:rPr>
      </w:pPr>
      <w:r>
        <w:rPr>
          <w:b/>
        </w:rPr>
        <w:t>实际提交材料：</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288"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73"/>
    <w:rsid w:val="00251122"/>
    <w:rsid w:val="005A458E"/>
    <w:rsid w:val="0074357F"/>
    <w:rsid w:val="007F7673"/>
    <w:rsid w:val="00A85439"/>
    <w:rsid w:val="00E327EA"/>
    <w:rsid w:val="1C81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 w:type="paragraph" w:customStyle="1" w:styleId="11">
    <w:name w:val="条文"/>
    <w:basedOn w:val="1"/>
    <w:link w:val="12"/>
    <w:qFormat/>
    <w:uiPriority w:val="0"/>
    <w:pPr>
      <w:spacing w:line="300" w:lineRule="auto"/>
      <w:outlineLvl w:val="2"/>
    </w:pPr>
    <w:rPr>
      <w:sz w:val="24"/>
    </w:rPr>
  </w:style>
  <w:style w:type="character" w:customStyle="1" w:styleId="12">
    <w:name w:val="条文 Char"/>
    <w:link w:val="11"/>
    <w:qFormat/>
    <w:locked/>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458</Words>
  <Characters>493</Characters>
  <Lines>4</Lines>
  <Paragraphs>1</Paragraphs>
  <TotalTime>1</TotalTime>
  <ScaleCrop>false</ScaleCrop>
  <LinksUpToDate>false</LinksUpToDate>
  <CharactersWithSpaces>497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2019-10-21T01:59:00Z</dcterms:created>
  <dc:creator>dongYP</dc:creator>
  <cp:lastModifiedBy>陈辉</cp:lastModifiedBy>
  <dcterms:modified xsi:type="dcterms:W3CDTF">2022-03-11T07:16:06Z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7911207213684866843092A856FF2712</vt:lpwstr>
  </property>
</Properties>
</file>