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7.2.10 合理使用非传统水源。（总分15分）</w:t>
      </w:r>
    </w:p>
    <w:p>
      <w:pPr>
        <w:spacing w:after="156" w:afterLines="50" w:line="288" w:lineRule="auto"/>
        <w:jc w:val="left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rFonts w:hint="eastAsia"/>
          <w:b/>
          <w:bCs/>
          <w:lang w:val="zh-CN"/>
        </w:rPr>
        <w:t>；</w:t>
      </w:r>
      <w:r>
        <w:rPr>
          <w:b/>
          <w:bCs/>
          <w:lang w:val="zh-CN"/>
        </w:rPr>
        <w:t>本条得分：__</w:t>
      </w:r>
      <w:r>
        <w:rPr>
          <w:rFonts w:hint="eastAsia"/>
          <w:b/>
          <w:bCs/>
          <w:lang w:val="en-US" w:eastAsia="zh-CN"/>
        </w:rPr>
        <w:t>15</w:t>
      </w:r>
      <w:r>
        <w:rPr>
          <w:b/>
          <w:bCs/>
          <w:lang w:val="zh-CN"/>
        </w:rPr>
        <w:t>；</w:t>
      </w: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1）自评得分</w:t>
      </w:r>
    </w:p>
    <w:p>
      <w:pPr>
        <w:pStyle w:val="10"/>
        <w:snapToGrid w:val="0"/>
        <w:spacing w:after="156" w:afterLines="50"/>
        <w:ind w:firstLine="0" w:firstLineChars="0"/>
        <w:jc w:val="left"/>
        <w:rPr>
          <w:b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b/>
        </w:rPr>
        <w:t>不参评：</w:t>
      </w:r>
      <w:sdt>
        <w:sdtPr>
          <w:rPr>
            <w:b/>
            <w:bCs/>
            <w:szCs w:val="21"/>
            <w:lang w:val="zh-CN"/>
          </w:rPr>
          <w:id w:val="7084619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养老院、</w:t>
      </w:r>
      <w:sdt>
        <w:sdtPr>
          <w:rPr>
            <w:b/>
            <w:bCs/>
            <w:szCs w:val="21"/>
            <w:lang w:val="zh-CN"/>
          </w:rPr>
          <w:id w:val="-1326505495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幼儿园、</w:t>
      </w:r>
      <w:sdt>
        <w:sdtPr>
          <w:rPr>
            <w:b/>
            <w:bCs/>
            <w:szCs w:val="21"/>
            <w:lang w:val="zh-CN"/>
          </w:rPr>
          <w:id w:val="86580263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医院类建筑、</w:t>
      </w:r>
      <w:sdt>
        <w:sdtPr>
          <w:rPr>
            <w:b/>
            <w:bCs/>
            <w:szCs w:val="21"/>
            <w:lang w:val="zh-CN"/>
          </w:rPr>
          <w:id w:val="382301360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项目周边无市政再生水利用条件且建筑可回用水量小于100m</w:t>
      </w:r>
      <w:r>
        <w:rPr>
          <w:vertAlign w:val="superscript"/>
          <w:lang w:val="zh-CN"/>
        </w:rPr>
        <w:t>3</w:t>
      </w:r>
      <w:r>
        <w:rPr>
          <w:lang w:val="zh-CN"/>
        </w:rPr>
        <w:t>/d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983"/>
        <w:gridCol w:w="965"/>
        <w:gridCol w:w="663"/>
        <w:gridCol w:w="663"/>
        <w:gridCol w:w="811"/>
        <w:gridCol w:w="718"/>
        <w:gridCol w:w="661"/>
        <w:gridCol w:w="1133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204" w:type="dxa"/>
            <w:gridSpan w:val="8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zh-CN"/>
              </w:rPr>
              <w:t>评价内容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/>
                <w:bCs/>
                <w:szCs w:val="21"/>
                <w:lang w:val="zh-CN"/>
              </w:rPr>
              <w:t>评价分值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  <w:lang w:val="zh-CN"/>
              </w:rPr>
            </w:pPr>
            <w:r>
              <w:rPr>
                <w:b/>
                <w:bCs/>
                <w:szCs w:val="21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建筑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类型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非传统水源利用率</w:t>
            </w:r>
          </w:p>
        </w:tc>
        <w:tc>
          <w:tcPr>
            <w:tcW w:w="663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或</w:t>
            </w:r>
          </w:p>
        </w:tc>
        <w:tc>
          <w:tcPr>
            <w:tcW w:w="2853" w:type="dxa"/>
            <w:gridSpan w:val="4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非传统水源利用措施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有市政再生水供应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无市政再生水供应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室内冲厕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室外绿化灌溉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道路浇洒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洗车用水</w:t>
            </w: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住宅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30.0%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30.0%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办公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50.0%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商业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50.0%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旅馆</w:t>
            </w: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2.0%</w:t>
            </w:r>
          </w:p>
        </w:tc>
        <w:tc>
          <w:tcPr>
            <w:tcW w:w="965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</w:tcPr>
          <w:p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—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10</w:t>
            </w: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98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12.0%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2.0%</w:t>
            </w:r>
          </w:p>
        </w:tc>
        <w:tc>
          <w:tcPr>
            <w:tcW w:w="663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●○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其他</w:t>
            </w:r>
          </w:p>
        </w:tc>
        <w:tc>
          <w:tcPr>
            <w:tcW w:w="5464" w:type="dxa"/>
            <w:gridSpan w:val="7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绿化灌溉、道路冲洗、洗车用水采用非传统水源的用水量占其总用水量的比例不低于80%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464" w:type="dxa"/>
            <w:gridSpan w:val="7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冲厕采用非传统水源的用水量占其用水量的比例不低于50%，得8分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8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04" w:type="dxa"/>
            <w:gridSpan w:val="8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合计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15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10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2）评价要点</w:t>
      </w:r>
    </w:p>
    <w:p>
      <w:pPr>
        <w:spacing w:line="288" w:lineRule="auto"/>
      </w:pPr>
      <w:r>
        <w:t>建筑可回用水量</w:t>
      </w:r>
      <w:r>
        <w:rPr>
          <w:rFonts w:hint="eastAsia"/>
        </w:rPr>
        <w:t xml:space="preserve">是否大于100 </w:t>
      </w:r>
      <w:r>
        <w:t>m</w:t>
      </w:r>
      <w:r>
        <w:rPr>
          <w:vertAlign w:val="superscript"/>
        </w:rPr>
        <w:t>3</w:t>
      </w:r>
      <w:r>
        <w:t>/d</w:t>
      </w:r>
      <w:r>
        <w:rPr>
          <w:rFonts w:hint="eastAsia"/>
        </w:rPr>
        <w:t>：</w:t>
      </w:r>
      <w:sdt>
        <w:sdtPr>
          <w:rPr>
            <w:b/>
            <w:bCs/>
            <w:szCs w:val="21"/>
          </w:rPr>
          <w:id w:val="-65183972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</w:rPr>
          <w:id w:val="85923656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</w:rPr>
            <w:t>☐</w:t>
          </w:r>
        </w:sdtContent>
      </w:sdt>
      <w:r>
        <w:rPr>
          <w:rFonts w:asciiTheme="minorEastAsia" w:hAnsiTheme="minorEastAsia" w:eastAsiaTheme="minorEastAsia"/>
          <w:szCs w:val="21"/>
        </w:rPr>
        <w:t>否</w:t>
      </w:r>
    </w:p>
    <w:p>
      <w:pPr>
        <w:spacing w:line="288" w:lineRule="auto"/>
        <w:rPr>
          <w:u w:val="single"/>
          <w:lang w:val="zh-CN"/>
        </w:rPr>
      </w:pPr>
      <w:r>
        <w:rPr>
          <w:lang w:val="zh-CN"/>
        </w:rPr>
        <w:t>建筑类型为：</w:t>
      </w:r>
      <w:sdt>
        <w:sdtPr>
          <w:rPr>
            <w:b/>
            <w:bCs/>
            <w:szCs w:val="21"/>
            <w:lang w:val="zh-CN"/>
          </w:rPr>
          <w:id w:val="-992639971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住宅、</w:t>
      </w:r>
      <w:sdt>
        <w:sdtPr>
          <w:rPr>
            <w:b/>
            <w:bCs/>
            <w:szCs w:val="21"/>
            <w:lang w:val="zh-CN"/>
          </w:rPr>
          <w:id w:val="-1136798626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办公楼、</w:t>
      </w:r>
      <w:sdt>
        <w:sdtPr>
          <w:rPr>
            <w:b/>
            <w:bCs/>
            <w:szCs w:val="21"/>
            <w:lang w:val="zh-CN"/>
          </w:rPr>
          <w:id w:val="-2064091159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商场、</w:t>
      </w:r>
      <w:sdt>
        <w:sdtPr>
          <w:rPr>
            <w:b/>
            <w:bCs/>
            <w:szCs w:val="21"/>
            <w:lang w:val="zh-CN"/>
          </w:rPr>
          <w:id w:val="207731366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旅馆类、</w:t>
      </w:r>
      <w:sdt>
        <w:sdtPr>
          <w:rPr>
            <w:b/>
            <w:bCs/>
            <w:szCs w:val="21"/>
            <w:lang w:val="zh-CN"/>
          </w:rPr>
          <w:id w:val="1620876272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其他</w:t>
      </w:r>
      <w:r>
        <w:rPr>
          <w:rFonts w:hint="eastAsia"/>
          <w:lang w:val="zh-CN"/>
        </w:rPr>
        <w:t>：</w:t>
      </w:r>
    </w:p>
    <w:p>
      <w:pPr>
        <w:spacing w:line="288" w:lineRule="auto"/>
        <w:rPr>
          <w:rFonts w:eastAsia="仿宋_GB2312"/>
          <w:szCs w:val="21"/>
        </w:rPr>
      </w:pPr>
      <w:r>
        <w:rPr>
          <w:lang w:val="zh-CN"/>
        </w:rPr>
        <w:t>项目周边是否有市政再生水利用条件：</w:t>
      </w:r>
      <w:sdt>
        <w:sdtPr>
          <w:rPr>
            <w:b/>
            <w:bCs/>
            <w:szCs w:val="21"/>
            <w:lang w:val="zh-CN"/>
          </w:rPr>
          <w:id w:val="-1484547054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lang w:val="zh-CN"/>
        </w:rPr>
        <w:t>是、</w:t>
      </w:r>
      <w:sdt>
        <w:sdtPr>
          <w:rPr>
            <w:b/>
            <w:bCs/>
            <w:szCs w:val="21"/>
            <w:lang w:val="zh-CN"/>
          </w:rPr>
          <w:id w:val="-1353488238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rFonts w:hint="eastAsia" w:asciiTheme="minorEastAsia" w:hAnsiTheme="minorEastAsia" w:eastAsiaTheme="minorEastAsia"/>
          <w:szCs w:val="21"/>
        </w:rPr>
        <w:t>否</w:t>
      </w:r>
    </w:p>
    <w:p>
      <w:pPr>
        <w:spacing w:line="288" w:lineRule="auto"/>
      </w:pPr>
      <w:r>
        <w:t>非传统水源利用量</w:t>
      </w:r>
      <w:r>
        <w:rPr>
          <w:bCs/>
          <w:szCs w:val="21"/>
        </w:rPr>
        <w:t>占其用水量的比例</w:t>
      </w:r>
      <w:r>
        <w:t>为：__（%）</w:t>
      </w:r>
    </w:p>
    <w:p>
      <w:pPr>
        <w:pStyle w:val="10"/>
        <w:spacing w:line="288" w:lineRule="auto"/>
        <w:ind w:left="420" w:firstLine="0" w:firstLineChars="0"/>
        <w:jc w:val="center"/>
        <w:rPr>
          <w:sz w:val="18"/>
          <w:szCs w:val="18"/>
        </w:rPr>
      </w:pPr>
      <w:r>
        <w:rPr>
          <w:rFonts w:hint="eastAsia"/>
          <w:szCs w:val="18"/>
        </w:rPr>
        <w:t>非传统水源利用主要信息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1626"/>
        <w:gridCol w:w="2258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用水单元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用水量（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/a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非传统水源来源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非传统水源用水量（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3</w:t>
            </w:r>
            <w:r>
              <w:rPr>
                <w:szCs w:val="21"/>
              </w:rPr>
              <w:t>/a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绿化浇灌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雨水回用</w:t>
            </w:r>
          </w:p>
        </w:tc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道路冲洗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雨水回用</w:t>
            </w:r>
          </w:p>
        </w:tc>
        <w:tc>
          <w:tcPr>
            <w:tcW w:w="25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</w:pPr>
    </w:p>
    <w:p>
      <w:pPr>
        <w:pStyle w:val="10"/>
        <w:spacing w:line="360" w:lineRule="auto"/>
        <w:ind w:firstLine="0" w:firstLineChars="0"/>
        <w:rPr>
          <w:b/>
        </w:rPr>
      </w:pPr>
      <w:r>
        <w:rPr>
          <w:b/>
        </w:rPr>
        <w:t>3）证明材料</w:t>
      </w:r>
    </w:p>
    <w:p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提交材料及要求：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给排水专业施工图及设计说明</w:t>
      </w:r>
      <w:r>
        <w:rPr>
          <w:szCs w:val="21"/>
        </w:rPr>
        <w:t>：</w:t>
      </w:r>
      <w:r>
        <w:t>应包括室内外给排水消防系统设计说明、室内外给排水消防系统施工说明、室外给排水总平面图、非传统水源利用工艺流程图及机房详图、非传统水源机房给水系统图</w:t>
      </w:r>
      <w:r>
        <w:rPr>
          <w:szCs w:val="21"/>
        </w:rPr>
        <w:t>；</w:t>
      </w:r>
    </w:p>
    <w:p>
      <w:pPr>
        <w:pStyle w:val="10"/>
        <w:numPr>
          <w:ilvl w:val="0"/>
          <w:numId w:val="1"/>
        </w:numPr>
        <w:spacing w:line="288" w:lineRule="auto"/>
        <w:ind w:firstLineChars="0"/>
        <w:rPr>
          <w:szCs w:val="21"/>
        </w:rPr>
      </w:pPr>
      <w:r>
        <w:t>非传统水源利用率计算书</w:t>
      </w:r>
      <w:r>
        <w:rPr>
          <w:szCs w:val="21"/>
        </w:rPr>
        <w:t>：应包括水量平衡分析、非传统水源利用系统设备及构筑物参数的计算确定、各项用水的详细计算过程、技术经济分析等；</w:t>
      </w:r>
    </w:p>
    <w:p>
      <w:pPr>
        <w:pStyle w:val="10"/>
        <w:numPr>
          <w:ilvl w:val="0"/>
          <w:numId w:val="1"/>
        </w:numPr>
        <w:tabs>
          <w:tab w:val="left" w:pos="709"/>
        </w:tabs>
        <w:spacing w:line="288" w:lineRule="auto"/>
        <w:ind w:firstLineChars="0"/>
        <w:rPr>
          <w:szCs w:val="21"/>
        </w:rPr>
      </w:pPr>
      <w:r>
        <w:rPr>
          <w:szCs w:val="21"/>
        </w:rPr>
        <w:t>如采用市政中水，应提供当地相关主管部门的许可。</w:t>
      </w:r>
    </w:p>
    <w:p>
      <w:pPr>
        <w:spacing w:line="288" w:lineRule="auto"/>
        <w:rPr>
          <w:szCs w:val="21"/>
        </w:rPr>
      </w:pPr>
    </w:p>
    <w:p>
      <w:pPr>
        <w:spacing w:line="288" w:lineRule="auto"/>
        <w:rPr>
          <w:b/>
          <w:sz w:val="24"/>
        </w:rPr>
      </w:pPr>
      <w:r>
        <w:rPr>
          <w:b/>
          <w:szCs w:val="21"/>
        </w:rPr>
        <w:t>实际提交材料：</w:t>
      </w:r>
    </w:p>
    <w:tbl>
      <w:tblPr>
        <w:tblStyle w:val="5"/>
        <w:tblW w:w="8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  <w:jc w:val="center"/>
        </w:trPr>
        <w:tc>
          <w:tcPr>
            <w:tcW w:w="8454" w:type="dxa"/>
          </w:tcPr>
          <w:p>
            <w:pPr>
              <w:spacing w:line="288" w:lineRule="auto"/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C6CF4"/>
    <w:multiLevelType w:val="multilevel"/>
    <w:tmpl w:val="16BC6CF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17D"/>
    <w:rsid w:val="00253ECC"/>
    <w:rsid w:val="002A6C7F"/>
    <w:rsid w:val="005A458E"/>
    <w:rsid w:val="007E0D26"/>
    <w:rsid w:val="00AC076A"/>
    <w:rsid w:val="00B639FF"/>
    <w:rsid w:val="00C2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2 Char"/>
    <w:basedOn w:val="6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778</Characters>
  <Lines>7</Lines>
  <Paragraphs>2</Paragraphs>
  <TotalTime>3</TotalTime>
  <ScaleCrop>false</ScaleCrop>
  <LinksUpToDate>false</LinksUpToDate>
  <CharactersWithSpaces>780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2019-10-21T02:52:00Z</dcterms:created>
  <dc:creator>dongYP</dc:creator>
  <cp:lastModifiedBy>陈辉</cp:lastModifiedBy>
  <dcterms:modified xsi:type="dcterms:W3CDTF">2022-03-11T07:42:20Z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56C1176F36264D89B0DD305EEC0BAF79</vt:lpwstr>
  </property>
</Properties>
</file>