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8.2.10 合理采用高强建筑结构材料。（总分10分）</w:t>
      </w:r>
    </w:p>
    <w:p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10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r>
        <w:rPr>
          <w:b/>
        </w:rPr>
        <w:t>1）自评得分</w:t>
      </w:r>
    </w:p>
    <w:p>
      <w:pPr>
        <w:spacing w:line="288" w:lineRule="auto"/>
        <w:rPr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91269529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砌体结构；</w:t>
      </w:r>
      <w:sdt>
        <w:sdtPr>
          <w:rPr>
            <w:b/>
            <w:bCs/>
            <w:szCs w:val="21"/>
            <w:lang w:val="zh-CN"/>
          </w:rPr>
          <w:id w:val="4353362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Cs/>
          <w:lang w:val="zh-CN"/>
        </w:rPr>
        <w:t>木结构；</w:t>
      </w:r>
    </w:p>
    <w:p>
      <w:pPr>
        <w:spacing w:line="288" w:lineRule="auto"/>
        <w:rPr>
          <w:b/>
        </w:rPr>
      </w:pPr>
    </w:p>
    <w:p>
      <w:pPr>
        <w:snapToGrid w:val="0"/>
        <w:spacing w:after="156" w:afterLines="50" w:line="288" w:lineRule="auto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-202816810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bCs/>
          <w:lang w:val="zh-CN"/>
        </w:rPr>
        <w:t>混凝土</w:t>
      </w:r>
      <w:r>
        <w:rPr>
          <w:b/>
          <w:bCs/>
          <w:lang w:val="zh-CN"/>
        </w:rPr>
        <w:t>结构</w:t>
      </w:r>
    </w:p>
    <w:tbl>
      <w:tblPr>
        <w:tblStyle w:val="6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  <w:gridCol w:w="1940"/>
        <w:gridCol w:w="14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51" w:type="dxa"/>
            <w:gridSpan w:val="2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409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418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611" w:type="dxa"/>
            <w:vMerge w:val="restart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</w:rPr>
              <w:t>400MPa级及以上受力普通钢筋的比例</w:t>
            </w:r>
            <w:r>
              <w:rPr>
                <w:bCs/>
                <w:i/>
                <w:kern w:val="0"/>
                <w:sz w:val="20"/>
              </w:rPr>
              <w:t>Rsb</w:t>
            </w:r>
          </w:p>
        </w:tc>
        <w:tc>
          <w:tcPr>
            <w:tcW w:w="1940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30%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Rsb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611" w:type="dxa"/>
            <w:vMerge w:val="continue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1940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50%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Rsb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70%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611" w:type="dxa"/>
            <w:vMerge w:val="continue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1940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rFonts w:eastAsiaTheme="minorEastAsia"/>
                <w:bCs/>
                <w:kern w:val="0"/>
                <w:sz w:val="21"/>
                <w:szCs w:val="21"/>
              </w:rPr>
              <w:t>70%≤</w:t>
            </w:r>
            <w:r>
              <w:rPr>
                <w:bCs/>
                <w:i/>
                <w:kern w:val="0"/>
                <w:sz w:val="21"/>
                <w:szCs w:val="21"/>
              </w:rPr>
              <w:t>Rsb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85%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611" w:type="dxa"/>
            <w:vMerge w:val="continue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1940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i/>
                <w:kern w:val="0"/>
                <w:sz w:val="21"/>
                <w:szCs w:val="21"/>
              </w:rPr>
              <w:t>Rsb</w:t>
            </w:r>
            <w:r>
              <w:rPr>
                <w:bCs/>
                <w:kern w:val="0"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85%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611" w:type="dxa"/>
            <w:vAlign w:val="center"/>
          </w:tcPr>
          <w:p>
            <w:pPr>
              <w:spacing w:line="288" w:lineRule="auto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</w:rPr>
              <w:t>混凝土竖向承重结构采用强度等级不小于C50混凝土用量占竖向承重结构中混凝土总量的比例</w:t>
            </w:r>
          </w:p>
        </w:tc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eastAsiaTheme="minorEastAsia"/>
                <w:bCs/>
                <w:kern w:val="0"/>
                <w:sz w:val="20"/>
              </w:rPr>
              <w:t>50%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551" w:type="dxa"/>
            <w:gridSpan w:val="2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合计</w:t>
            </w:r>
          </w:p>
        </w:tc>
        <w:tc>
          <w:tcPr>
            <w:tcW w:w="140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9</w:t>
            </w: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-44668899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bCs/>
          <w:lang w:val="zh-CN"/>
        </w:rPr>
        <w:t>钢结构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1985"/>
        <w:gridCol w:w="1417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66" w:type="dxa"/>
            <w:gridSpan w:val="2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396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8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</w:rPr>
              <w:t>Q345</w:t>
            </w:r>
            <w:r>
              <w:rPr>
                <w:rFonts w:hint="eastAsia"/>
                <w:kern w:val="0"/>
                <w:sz w:val="20"/>
              </w:rPr>
              <w:t>及以上高强钢材用量占钢材总量的比例</w:t>
            </w:r>
          </w:p>
        </w:tc>
        <w:tc>
          <w:tcPr>
            <w:tcW w:w="198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50%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8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8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70%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396" w:type="dxa"/>
            <w:vMerge w:val="continue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  <w:sdt>
        <w:sdtPr>
          <w:rPr>
            <w:b/>
            <w:bCs/>
            <w:szCs w:val="21"/>
            <w:lang w:val="zh-CN"/>
          </w:rPr>
          <w:id w:val="91798768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bCs/>
          <w:lang w:val="zh-CN"/>
        </w:rPr>
        <w:t>混合结构</w:t>
      </w:r>
    </w:p>
    <w:tbl>
      <w:tblPr>
        <w:tblStyle w:val="6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182"/>
        <w:gridCol w:w="141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67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182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379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4182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混凝土结构部分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379" w:type="dxa"/>
          </w:tcPr>
          <w:p>
            <w:pPr>
              <w:spacing w:line="288" w:lineRule="auto"/>
              <w:jc w:val="center"/>
              <w:rPr>
                <w:rFonts w:hint="default" w:eastAsia="宋体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4182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钢结构部分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379" w:type="dxa"/>
          </w:tcPr>
          <w:p>
            <w:pPr>
              <w:spacing w:line="288" w:lineRule="auto"/>
              <w:jc w:val="center"/>
              <w:rPr>
                <w:rFonts w:hint="default" w:eastAsia="宋体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合计（取平均值）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</w:t>
            </w:r>
          </w:p>
        </w:tc>
        <w:tc>
          <w:tcPr>
            <w:tcW w:w="1379" w:type="dxa"/>
          </w:tcPr>
          <w:p>
            <w:pPr>
              <w:spacing w:line="288" w:lineRule="auto"/>
              <w:jc w:val="center"/>
              <w:rPr>
                <w:rFonts w:hint="default" w:eastAsia="宋体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0"/>
                <w:lang w:val="en-US" w:eastAsia="zh-CN"/>
              </w:rPr>
              <w:t>10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</w:rPr>
      </w:pPr>
    </w:p>
    <w:p>
      <w:pPr>
        <w:numPr>
          <w:ilvl w:val="0"/>
          <w:numId w:val="1"/>
        </w:numPr>
        <w:spacing w:line="288" w:lineRule="auto"/>
        <w:rPr>
          <w:b/>
        </w:rPr>
      </w:pPr>
      <w:r>
        <w:rPr>
          <w:b/>
        </w:rPr>
        <w:t>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1、</w:t>
      </w:r>
      <w:r>
        <w:rPr>
          <w:rFonts w:hint="eastAsia"/>
          <w:lang w:val="zh-CN"/>
        </w:rPr>
        <w:t>以行政</w:t>
      </w:r>
      <w:r>
        <w:rPr>
          <w:lang w:val="zh-CN"/>
        </w:rPr>
        <w:t>楼为例：混凝土结构建筑的主体结构400M</w:t>
      </w:r>
      <w:r>
        <w:rPr>
          <w:rFonts w:hint="eastAsia"/>
          <w:lang w:val="zh-CN"/>
        </w:rPr>
        <w:t>P</w:t>
      </w:r>
      <w:r>
        <w:rPr>
          <w:lang w:val="zh-CN"/>
        </w:rPr>
        <w:t>a级及以上受力普通钢筋用量</w:t>
      </w:r>
      <w:r>
        <w:t>：</w:t>
      </w:r>
      <w:r>
        <w:rPr>
          <w:lang w:val="zh-CN"/>
        </w:rPr>
        <w:t>XX</w:t>
      </w:r>
      <w:r>
        <w:t>（吨）；</w:t>
      </w:r>
      <w:r>
        <w:rPr>
          <w:lang w:val="zh-CN"/>
        </w:rPr>
        <w:t>钢筋总用量</w:t>
      </w:r>
      <w:r>
        <w:t>：</w:t>
      </w:r>
      <w:r>
        <w:rPr>
          <w:lang w:val="zh-CN"/>
        </w:rPr>
        <w:t>XX</w:t>
      </w:r>
      <w:r>
        <w:t>（吨）；</w:t>
      </w:r>
      <w:r>
        <w:rPr>
          <w:lang w:val="zh-CN"/>
        </w:rPr>
        <w:t>400M</w:t>
      </w:r>
      <w:r>
        <w:rPr>
          <w:rFonts w:hint="eastAsia"/>
          <w:lang w:val="zh-CN"/>
        </w:rPr>
        <w:t>P</w:t>
      </w:r>
      <w:r>
        <w:rPr>
          <w:lang w:val="zh-CN"/>
        </w:rPr>
        <w:t>a级及以上受力普通钢筋用量的比例：XX（%）；</w:t>
      </w:r>
      <w:r>
        <w:rPr>
          <w:rFonts w:hint="eastAsia"/>
          <w:lang w:val="zh-CN"/>
        </w:rPr>
        <w:t>项目总体4</w:t>
      </w:r>
      <w:r>
        <w:rPr>
          <w:lang w:val="zh-CN"/>
        </w:rPr>
        <w:t>00Mpa</w:t>
      </w:r>
      <w:r>
        <w:rPr>
          <w:rFonts w:hint="eastAsia"/>
          <w:lang w:val="zh-CN"/>
        </w:rPr>
        <w:t>以上的受力普通钢筋用量为</w:t>
      </w:r>
      <w:r>
        <w:rPr>
          <w:lang w:val="zh-CN"/>
        </w:rPr>
        <w:t>XX</w:t>
      </w:r>
      <w:r>
        <w:rPr>
          <w:rFonts w:hint="eastAsia"/>
          <w:lang w:val="zh-CN"/>
        </w:rPr>
        <w:t>吨，钢筋总用量为</w:t>
      </w:r>
      <w:r>
        <w:rPr>
          <w:lang w:val="zh-CN"/>
        </w:rPr>
        <w:t>XX</w:t>
      </w:r>
      <w:r>
        <w:rPr>
          <w:rFonts w:hint="eastAsia"/>
          <w:lang w:val="zh-CN"/>
        </w:rPr>
        <w:t>吨，4</w:t>
      </w:r>
      <w:r>
        <w:rPr>
          <w:lang w:val="zh-CN"/>
        </w:rPr>
        <w:t>00Mpa</w:t>
      </w:r>
      <w:r>
        <w:rPr>
          <w:rFonts w:hint="eastAsia"/>
          <w:lang w:val="zh-CN"/>
        </w:rPr>
        <w:t>以上钢筋用量比例为</w:t>
      </w:r>
      <w:r>
        <w:rPr>
          <w:lang w:val="zh-CN"/>
        </w:rPr>
        <w:t>XX%</w:t>
      </w:r>
      <w:r>
        <w:rPr>
          <w:rFonts w:hint="eastAsia"/>
          <w:lang w:val="zh-CN"/>
        </w:rPr>
        <w:t>。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2、混凝土结构建筑的混凝土承重结构中采用强度等级在C50（或以上）混凝土用量：（</w:t>
      </w:r>
      <w:r>
        <w:rPr>
          <w:rFonts w:hint="eastAsia"/>
          <w:lang w:val="zh-CN"/>
        </w:rPr>
        <w:t>立方米</w:t>
      </w:r>
      <w:r>
        <w:rPr>
          <w:rFonts w:hint="eastAsia"/>
        </w:rPr>
        <w:t>/吨，请选择</w:t>
      </w:r>
      <w:r>
        <w:rPr>
          <w:lang w:val="zh-CN"/>
        </w:rPr>
        <w:t>）；承重结构中混凝土用量：（</w:t>
      </w:r>
      <w:r>
        <w:rPr>
          <w:rFonts w:hint="eastAsia"/>
          <w:lang w:val="zh-CN"/>
        </w:rPr>
        <w:t>立方米</w:t>
      </w:r>
      <w:r>
        <w:rPr>
          <w:rFonts w:hint="eastAsia"/>
        </w:rPr>
        <w:t>/吨，请选择</w:t>
      </w:r>
      <w:r>
        <w:rPr>
          <w:lang w:val="zh-CN"/>
        </w:rPr>
        <w:t>）；强度等级在C50（或以上）混凝土占承重结构中混凝土总量的比例：（%）；</w:t>
      </w:r>
    </w:p>
    <w:p>
      <w:pPr>
        <w:spacing w:line="288" w:lineRule="auto"/>
      </w:pPr>
      <w:r>
        <w:rPr>
          <w:lang w:val="zh-CN"/>
        </w:rPr>
        <w:t>3、钢结构建筑的Q345及以上高强钢材用量：</w:t>
      </w:r>
      <w:r>
        <w:t>（吨）；</w:t>
      </w:r>
      <w:r>
        <w:rPr>
          <w:lang w:val="zh-CN"/>
        </w:rPr>
        <w:t>钢材总用量</w:t>
      </w:r>
      <w:r>
        <w:t>：（吨）；</w:t>
      </w:r>
      <w:r>
        <w:rPr>
          <w:lang w:val="zh-CN"/>
        </w:rPr>
        <w:t>Q345及以上高强钢材用量的比例：（%）。</w:t>
      </w:r>
    </w:p>
    <w:p>
      <w:pPr>
        <w:spacing w:line="288" w:lineRule="auto"/>
        <w:rPr>
          <w:b/>
        </w:rPr>
      </w:pPr>
    </w:p>
    <w:p>
      <w:pPr>
        <w:spacing w:line="288" w:lineRule="auto"/>
        <w:rPr>
          <w:b/>
          <w:lang w:val="zh-CN"/>
        </w:rPr>
      </w:pPr>
      <w:r>
        <w:rPr>
          <w:b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  <w:rPr>
          <w:lang w:val="zh-CN"/>
        </w:rPr>
      </w:pPr>
      <w:r>
        <w:t>1、结构设计文件：</w:t>
      </w:r>
      <w:r>
        <w:rPr>
          <w:kern w:val="0"/>
        </w:rPr>
        <w:t>包括设计说明</w:t>
      </w:r>
      <w:r>
        <w:rPr>
          <w:lang w:val="zh-CN"/>
        </w:rPr>
        <w:t>、</w:t>
      </w:r>
      <w:r>
        <w:rPr>
          <w:kern w:val="0"/>
        </w:rPr>
        <w:t>各层</w:t>
      </w:r>
      <w:r>
        <w:t>结构平面图（含柱、梁、板的配筋图）</w:t>
      </w:r>
      <w:r>
        <w:rPr>
          <w:lang w:val="zh-CN"/>
        </w:rPr>
        <w:t>等结构专业施工图及所采用的混凝土、钢材合理性论证材料；</w:t>
      </w:r>
    </w:p>
    <w:p>
      <w:pPr>
        <w:spacing w:line="288" w:lineRule="auto"/>
      </w:pPr>
      <w:r>
        <w:t>2、高强度材料用量比例计算书：</w:t>
      </w:r>
      <w:r>
        <w:rPr>
          <w:rFonts w:hint="eastAsia"/>
        </w:rPr>
        <w:t>（</w:t>
      </w:r>
      <w:r>
        <w:t>混凝土结构</w:t>
      </w:r>
      <w:r>
        <w:rPr>
          <w:rFonts w:hint="eastAsia"/>
        </w:rPr>
        <w:t>）</w:t>
      </w:r>
      <w:r>
        <w:t>需体现混凝土竖向承重结构高强混凝土</w:t>
      </w:r>
      <w:r>
        <w:rPr>
          <w:rFonts w:hint="eastAsia"/>
        </w:rPr>
        <w:t>或</w:t>
      </w:r>
      <w:r>
        <w:t>高强钢筋的使用比例；</w:t>
      </w:r>
      <w:r>
        <w:rPr>
          <w:rFonts w:hint="eastAsia"/>
        </w:rPr>
        <w:t>（</w:t>
      </w:r>
      <w:r>
        <w:t>钢结构</w:t>
      </w:r>
      <w:r>
        <w:rPr>
          <w:rFonts w:hint="eastAsia"/>
        </w:rPr>
        <w:t>）</w:t>
      </w:r>
      <w:r>
        <w:t>高强度钢的比例。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1EEBD"/>
    <w:multiLevelType w:val="singleLevel"/>
    <w:tmpl w:val="05C1EEBD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3"/>
    <w:rsid w:val="00256A82"/>
    <w:rsid w:val="00286FC3"/>
    <w:rsid w:val="00561D38"/>
    <w:rsid w:val="005A458E"/>
    <w:rsid w:val="008A4683"/>
    <w:rsid w:val="00947317"/>
    <w:rsid w:val="068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753</Characters>
  <Lines>6</Lines>
  <Paragraphs>1</Paragraphs>
  <TotalTime>1</TotalTime>
  <ScaleCrop>false</ScaleCrop>
  <LinksUpToDate>false</LinksUpToDate>
  <CharactersWithSpaces>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2019-10-21T03:37:00Z</dcterms:created>
  <dc:creator>dongYP</dc:creator>
  <cp:lastModifiedBy>陈辉</cp:lastModifiedBy>
  <dcterms:modified xsi:type="dcterms:W3CDTF">2022-03-11T07:54:19Z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F9D08CEAB5774ADA9D0227AB97280311</vt:lpwstr>
  </property>
</Properties>
</file>