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8.2.11 合理采用高耐久性建筑结构材料。（总分5分）</w:t>
      </w:r>
    </w:p>
    <w:p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r>
        <w:rPr>
          <w:b/>
        </w:rPr>
        <w:t>1）自评得分</w:t>
      </w:r>
    </w:p>
    <w:p>
      <w:pPr>
        <w:pStyle w:val="11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127690818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砌体结构；</w:t>
      </w:r>
      <w:sdt>
        <w:sdtPr>
          <w:rPr>
            <w:b/>
            <w:bCs/>
            <w:szCs w:val="21"/>
            <w:lang w:val="zh-CN"/>
          </w:rPr>
          <w:id w:val="75895043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木结构；</w:t>
      </w:r>
      <w:r>
        <w:t>：</w:t>
      </w:r>
    </w:p>
    <w:p>
      <w:pPr>
        <w:spacing w:line="288" w:lineRule="auto"/>
        <w:rPr>
          <w:rFonts w:eastAsia="仿宋_GB2312"/>
          <w:b/>
        </w:rPr>
      </w:pPr>
    </w:p>
    <w:p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139277731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混凝土结构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175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8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754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60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68" w:type="dxa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高耐久性混凝土用量占混凝土总量的比例达到50%</w:t>
            </w:r>
          </w:p>
        </w:tc>
        <w:tc>
          <w:tcPr>
            <w:tcW w:w="1754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600" w:type="dxa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5</w:t>
            </w: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-3662258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钢结构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7"/>
        <w:gridCol w:w="174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7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74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595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7" w:type="dxa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采用耐候结构钢或耐候型防腐涂料</w:t>
            </w:r>
          </w:p>
        </w:tc>
        <w:tc>
          <w:tcPr>
            <w:tcW w:w="1740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595" w:type="dxa"/>
          </w:tcPr>
          <w:p>
            <w:pPr>
              <w:spacing w:line="288" w:lineRule="auto"/>
              <w:jc w:val="center"/>
              <w:rPr>
                <w:rFonts w:hint="eastAsia" w:eastAsia="宋体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0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r>
        <w:rPr>
          <w:b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简要说明本项目采用的结构形式、高性能材料的使用范围及设计参数</w:t>
      </w:r>
      <w:r>
        <w:rPr>
          <w:rFonts w:hint="eastAsia"/>
          <w:lang w:val="zh-CN"/>
        </w:rPr>
        <w:t>，及</w:t>
      </w:r>
      <w:r>
        <w:rPr>
          <w:lang w:val="zh-CN"/>
        </w:rPr>
        <w:t>使用的高耐久性材料满足现行标准要求</w:t>
      </w:r>
      <w:r>
        <w:rPr>
          <w:rFonts w:hint="eastAsia"/>
          <w:lang w:val="zh-CN"/>
        </w:rPr>
        <w:t>的情况。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  <w:rPr>
                <w:lang w:val="zh-CN"/>
              </w:rPr>
            </w:pPr>
          </w:p>
        </w:tc>
      </w:tr>
    </w:tbl>
    <w:p>
      <w:pPr>
        <w:spacing w:line="288" w:lineRule="auto"/>
      </w:pPr>
    </w:p>
    <w:p>
      <w:pPr>
        <w:spacing w:line="288" w:lineRule="auto"/>
        <w:rPr>
          <w:b/>
          <w:lang w:val="zh-CN"/>
        </w:rPr>
      </w:pPr>
      <w:r>
        <w:rPr>
          <w:b/>
          <w:lang w:val="zh-CN"/>
        </w:rPr>
        <w:t>3）证明材料</w:t>
      </w:r>
    </w:p>
    <w:p>
      <w:pPr>
        <w:spacing w:line="288" w:lineRule="auto"/>
        <w:rPr>
          <w:bCs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  <w:rPr>
          <w:lang w:val="zh-CN"/>
        </w:rPr>
      </w:pPr>
      <w:r>
        <w:t>1、结构设计施工图：应注明本项目采用的高性能材料的类别及范围或耐候结构钢、耐候型防腐涂料的采用情况；</w:t>
      </w:r>
    </w:p>
    <w:p>
      <w:pPr>
        <w:spacing w:line="288" w:lineRule="auto"/>
      </w:pPr>
      <w:r>
        <w:t>2、所采用的高耐久性混凝土材料用量比例计算书：明确高耐久性混凝土的使用比例；</w:t>
      </w:r>
    </w:p>
    <w:p>
      <w:pPr>
        <w:spacing w:line="288" w:lineRule="auto"/>
      </w:pPr>
      <w:r>
        <w:t>3、材料预算</w:t>
      </w:r>
      <w:r>
        <w:rPr>
          <w:rFonts w:hint="eastAsia"/>
        </w:rPr>
        <w:t>（决算）</w:t>
      </w:r>
      <w:r>
        <w:t>清单。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5F"/>
    <w:rsid w:val="001A2068"/>
    <w:rsid w:val="005A458E"/>
    <w:rsid w:val="008B4400"/>
    <w:rsid w:val="00B85A5F"/>
    <w:rsid w:val="00D65DE4"/>
    <w:rsid w:val="00F24288"/>
    <w:rsid w:val="1E2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321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2019-10-21T03:39:00Z</dcterms:created>
  <dc:creator>dongYP</dc:creator>
  <cp:lastModifiedBy>陈辉</cp:lastModifiedBy>
  <dcterms:modified xsi:type="dcterms:W3CDTF">2022-03-11T07:55:07Z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FF64E3503CEC4646807B2CDAB0C11756</vt:lpwstr>
  </property>
</Properties>
</file>