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9.1.6 屋顶和东、西外墙隔热性能应满足现行国家标准《民用建筑热工设计规范》GB50176 的要求。</w:t>
      </w:r>
    </w:p>
    <w:p>
      <w:pPr>
        <w:autoSpaceDE w:val="0"/>
        <w:autoSpaceDN w:val="0"/>
        <w:adjustRightInd w:val="0"/>
        <w:snapToGrid w:val="0"/>
        <w:spacing w:before="120" w:after="120" w:line="360" w:lineRule="auto"/>
        <w:rPr>
          <w:rFonts w:eastAsia="黑体"/>
          <w:b/>
          <w:bCs/>
          <w:sz w:val="24"/>
          <w:szCs w:val="32"/>
        </w:rPr>
      </w:pPr>
    </w:p>
    <w:p>
      <w:pPr>
        <w:pStyle w:val="10"/>
        <w:adjustRightInd w:val="0"/>
        <w:snapToGrid w:val="0"/>
        <w:spacing w:line="288" w:lineRule="auto"/>
        <w:ind w:firstLine="0" w:firstLineChars="0"/>
        <w:rPr>
          <w:b/>
          <w:szCs w:val="21"/>
          <w:lang w:val="zh-CN"/>
        </w:rPr>
      </w:pPr>
      <w:r>
        <w:rPr>
          <w:b/>
          <w:szCs w:val="21"/>
          <w:lang w:val="zh-CN"/>
        </w:rPr>
        <w:t>1）达标自评</w:t>
      </w:r>
    </w:p>
    <w:p>
      <w:pPr>
        <w:adjustRightInd w:val="0"/>
        <w:snapToGrid w:val="0"/>
        <w:spacing w:line="288" w:lineRule="auto"/>
        <w:rPr>
          <w:kern w:val="0"/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kern w:val="0"/>
          <w:szCs w:val="21"/>
        </w:rPr>
        <w:t>达标；</w:t>
      </w:r>
      <w:sdt>
        <w:sdtPr>
          <w:rPr>
            <w:b/>
            <w:bCs/>
            <w:szCs w:val="21"/>
            <w:lang w:val="zh-CN"/>
          </w:rPr>
          <w:id w:val="24130066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kern w:val="0"/>
          <w:szCs w:val="21"/>
        </w:rPr>
        <w:t>不达标</w:t>
      </w:r>
    </w:p>
    <w:p>
      <w:pPr>
        <w:adjustRightInd w:val="0"/>
        <w:snapToGrid w:val="0"/>
        <w:spacing w:line="288" w:lineRule="auto"/>
        <w:rPr>
          <w:b/>
          <w:szCs w:val="21"/>
        </w:rPr>
      </w:pPr>
    </w:p>
    <w:p>
      <w:pPr>
        <w:pStyle w:val="10"/>
        <w:numPr>
          <w:ilvl w:val="0"/>
          <w:numId w:val="1"/>
        </w:numPr>
        <w:adjustRightInd w:val="0"/>
        <w:snapToGrid w:val="0"/>
        <w:spacing w:line="288" w:lineRule="auto"/>
        <w:ind w:firstLine="0" w:firstLineChars="0"/>
        <w:rPr>
          <w:b/>
          <w:szCs w:val="21"/>
          <w:lang w:val="zh-CN"/>
        </w:rPr>
      </w:pPr>
      <w:r>
        <w:rPr>
          <w:b/>
          <w:szCs w:val="21"/>
          <w:lang w:val="zh-CN"/>
        </w:rPr>
        <w:t>评价要点</w:t>
      </w:r>
    </w:p>
    <w:p>
      <w:pPr>
        <w:pStyle w:val="10"/>
        <w:adjustRightInd w:val="0"/>
        <w:snapToGrid w:val="0"/>
        <w:spacing w:line="288" w:lineRule="auto"/>
        <w:ind w:firstLine="0" w:firstLineChars="0"/>
        <w:rPr>
          <w:szCs w:val="21"/>
          <w:u w:val="single"/>
          <w:lang w:val="zh-CN"/>
        </w:rPr>
      </w:pPr>
      <w:r>
        <w:rPr>
          <w:rFonts w:hint="eastAsia"/>
          <w:szCs w:val="21"/>
          <w:u w:val="single"/>
          <w:lang w:val="zh-CN"/>
        </w:rPr>
        <w:t>以行政楼为例：</w:t>
      </w:r>
    </w:p>
    <w:p>
      <w:pPr>
        <w:adjustRightInd w:val="0"/>
        <w:snapToGrid w:val="0"/>
        <w:spacing w:line="288" w:lineRule="auto"/>
        <w:rPr>
          <w:szCs w:val="21"/>
          <w:u w:val="single"/>
          <w:lang w:val="zh-CN"/>
        </w:rPr>
      </w:pPr>
      <w:r>
        <w:rPr>
          <w:szCs w:val="21"/>
          <w:u w:val="single"/>
          <w:lang w:val="zh-CN"/>
        </w:rPr>
        <w:t>在自然通风条件下，最不利房间的屋顶内表面最高温度为</w:t>
      </w:r>
      <w:r>
        <w:rPr>
          <w:rFonts w:hint="eastAsia"/>
          <w:szCs w:val="21"/>
          <w:u w:val="single"/>
          <w:lang w:val="zh-CN"/>
        </w:rPr>
        <w:t>3</w:t>
      </w:r>
      <w:r>
        <w:rPr>
          <w:szCs w:val="21"/>
          <w:u w:val="single"/>
          <w:lang w:val="zh-CN"/>
        </w:rPr>
        <w:t>2.74</w:t>
      </w:r>
      <w:r>
        <w:rPr>
          <w:rFonts w:hint="eastAsia" w:ascii="宋体" w:hAnsi="宋体" w:cs="宋体"/>
          <w:szCs w:val="21"/>
          <w:u w:val="single"/>
          <w:lang w:val="zh-CN"/>
        </w:rPr>
        <w:t>℃</w:t>
      </w:r>
      <w:r>
        <w:rPr>
          <w:szCs w:val="21"/>
          <w:u w:val="single"/>
          <w:lang w:val="zh-CN"/>
        </w:rPr>
        <w:t>；东外墙的内表面最高温度为</w:t>
      </w:r>
      <w:r>
        <w:rPr>
          <w:szCs w:val="21"/>
          <w:u w:val="single"/>
        </w:rPr>
        <w:t>33.09</w:t>
      </w:r>
      <w:r>
        <w:rPr>
          <w:rFonts w:hint="eastAsia" w:ascii="宋体" w:hAnsi="宋体" w:cs="宋体"/>
          <w:szCs w:val="21"/>
          <w:u w:val="single"/>
          <w:lang w:val="zh-CN"/>
        </w:rPr>
        <w:t>℃</w:t>
      </w:r>
      <w:r>
        <w:rPr>
          <w:szCs w:val="21"/>
          <w:u w:val="single"/>
          <w:lang w:val="zh-CN"/>
        </w:rPr>
        <w:t>；西外墙的内表面最高温度为</w:t>
      </w:r>
      <w:r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>2</w:t>
      </w:r>
      <w:r>
        <w:rPr>
          <w:szCs w:val="21"/>
          <w:u w:val="single"/>
        </w:rPr>
        <w:t>.67</w:t>
      </w:r>
      <w:r>
        <w:rPr>
          <w:rFonts w:hint="eastAsia" w:ascii="宋体" w:hAnsi="宋体" w:cs="宋体"/>
          <w:szCs w:val="21"/>
          <w:u w:val="single"/>
          <w:lang w:val="zh-CN"/>
        </w:rPr>
        <w:t>℃</w:t>
      </w:r>
      <w:r>
        <w:rPr>
          <w:szCs w:val="21"/>
          <w:u w:val="single"/>
          <w:lang w:val="zh-CN"/>
        </w:rPr>
        <w:t>。</w:t>
      </w:r>
      <w:r>
        <w:rPr>
          <w:rFonts w:hint="eastAsia"/>
          <w:szCs w:val="21"/>
          <w:u w:val="single"/>
          <w:lang w:val="zh-CN"/>
        </w:rPr>
        <w:t>低于室外计算温度最高值3</w:t>
      </w:r>
      <w:r>
        <w:rPr>
          <w:szCs w:val="21"/>
          <w:u w:val="single"/>
          <w:lang w:val="zh-CN"/>
        </w:rPr>
        <w:t>4.40</w:t>
      </w:r>
      <w:r>
        <w:rPr>
          <w:rFonts w:hint="eastAsia" w:ascii="宋体" w:hAnsi="宋体" w:cs="宋体"/>
          <w:szCs w:val="21"/>
          <w:u w:val="single"/>
          <w:lang w:val="zh-CN"/>
        </w:rPr>
        <w:t>℃</w:t>
      </w:r>
    </w:p>
    <w:p>
      <w:pPr>
        <w:adjustRightInd w:val="0"/>
        <w:snapToGrid w:val="0"/>
        <w:spacing w:line="288" w:lineRule="auto"/>
        <w:rPr>
          <w:szCs w:val="21"/>
          <w:lang w:val="zh-CN"/>
        </w:rPr>
      </w:pPr>
    </w:p>
    <w:p>
      <w:pPr>
        <w:pStyle w:val="10"/>
        <w:adjustRightInd w:val="0"/>
        <w:snapToGrid w:val="0"/>
        <w:spacing w:line="288" w:lineRule="auto"/>
        <w:ind w:firstLine="0" w:firstLineChars="0"/>
        <w:rPr>
          <w:b/>
          <w:szCs w:val="21"/>
        </w:rPr>
      </w:pPr>
      <w:r>
        <w:rPr>
          <w:b/>
          <w:szCs w:val="21"/>
          <w:lang w:val="zh-CN"/>
        </w:rPr>
        <w:t>3）证明材料</w:t>
      </w:r>
    </w:p>
    <w:p>
      <w:pPr>
        <w:adjustRightInd w:val="0"/>
        <w:snapToGrid w:val="0"/>
        <w:spacing w:line="288" w:lineRule="auto"/>
        <w:rPr>
          <w:b/>
          <w:szCs w:val="21"/>
        </w:rPr>
      </w:pPr>
      <w:r>
        <w:rPr>
          <w:rFonts w:hint="eastAsia"/>
          <w:b/>
          <w:szCs w:val="21"/>
          <w:lang w:val="zh-CN"/>
        </w:rPr>
        <w:t>提交材料及要求</w:t>
      </w:r>
    </w:p>
    <w:p>
      <w:pPr>
        <w:pStyle w:val="10"/>
        <w:numPr>
          <w:ilvl w:val="0"/>
          <w:numId w:val="2"/>
        </w:numPr>
        <w:adjustRightInd w:val="0"/>
        <w:snapToGrid w:val="0"/>
        <w:spacing w:line="288" w:lineRule="auto"/>
        <w:ind w:left="0" w:firstLine="0" w:firstLineChars="0"/>
        <w:rPr>
          <w:szCs w:val="21"/>
          <w:lang w:val="zh-CN"/>
        </w:rPr>
      </w:pPr>
      <w:r>
        <w:rPr>
          <w:szCs w:val="21"/>
          <w:lang w:val="zh-CN"/>
        </w:rPr>
        <w:t>节能计算书或内表面温度计算说明书：应包括围护结构做法、热工性能的说明、各围护结构内表面温度计算的详细过程。</w:t>
      </w:r>
    </w:p>
    <w:p>
      <w:pPr>
        <w:adjustRightInd w:val="0"/>
        <w:snapToGrid w:val="0"/>
        <w:spacing w:line="288" w:lineRule="auto"/>
        <w:rPr>
          <w:szCs w:val="21"/>
        </w:rPr>
      </w:pPr>
    </w:p>
    <w:p>
      <w:pPr>
        <w:adjustRightInd w:val="0"/>
        <w:snapToGrid w:val="0"/>
        <w:spacing w:line="288" w:lineRule="auto"/>
        <w:rPr>
          <w:b/>
          <w:szCs w:val="21"/>
        </w:rPr>
      </w:pPr>
      <w:r>
        <w:rPr>
          <w:b/>
          <w:szCs w:val="21"/>
          <w:lang w:val="zh-CN"/>
        </w:rPr>
        <w:t>实际提交材料：</w:t>
      </w:r>
    </w:p>
    <w:tbl>
      <w:tblPr>
        <w:tblStyle w:val="5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atLeast"/>
          <w:jc w:val="center"/>
        </w:trPr>
        <w:tc>
          <w:tcPr>
            <w:tcW w:w="8292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14B2A3"/>
    <w:multiLevelType w:val="singleLevel"/>
    <w:tmpl w:val="AF14B2A3"/>
    <w:lvl w:ilvl="0" w:tentative="0">
      <w:start w:val="2"/>
      <w:numFmt w:val="decimal"/>
      <w:suff w:val="nothing"/>
      <w:lvlText w:val="%1）"/>
      <w:lvlJc w:val="left"/>
    </w:lvl>
  </w:abstractNum>
  <w:abstractNum w:abstractNumId="1">
    <w:nsid w:val="3D355A7F"/>
    <w:multiLevelType w:val="multilevel"/>
    <w:tmpl w:val="3D355A7F"/>
    <w:lvl w:ilvl="0" w:tentative="0">
      <w:start w:val="1"/>
      <w:numFmt w:val="decimal"/>
      <w:lvlText w:val="%1、"/>
      <w:lvlJc w:val="left"/>
      <w:pPr>
        <w:ind w:left="624" w:hanging="4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044" w:hanging="420"/>
      </w:pPr>
    </w:lvl>
    <w:lvl w:ilvl="2" w:tentative="0">
      <w:start w:val="1"/>
      <w:numFmt w:val="lowerRoman"/>
      <w:lvlText w:val="%3."/>
      <w:lvlJc w:val="right"/>
      <w:pPr>
        <w:ind w:left="1464" w:hanging="420"/>
      </w:pPr>
    </w:lvl>
    <w:lvl w:ilvl="3" w:tentative="0">
      <w:start w:val="1"/>
      <w:numFmt w:val="decimal"/>
      <w:lvlText w:val="%4."/>
      <w:lvlJc w:val="left"/>
      <w:pPr>
        <w:ind w:left="1884" w:hanging="420"/>
      </w:pPr>
    </w:lvl>
    <w:lvl w:ilvl="4" w:tentative="0">
      <w:start w:val="1"/>
      <w:numFmt w:val="lowerLetter"/>
      <w:lvlText w:val="%5)"/>
      <w:lvlJc w:val="left"/>
      <w:pPr>
        <w:ind w:left="2304" w:hanging="420"/>
      </w:pPr>
    </w:lvl>
    <w:lvl w:ilvl="5" w:tentative="0">
      <w:start w:val="1"/>
      <w:numFmt w:val="lowerRoman"/>
      <w:lvlText w:val="%6."/>
      <w:lvlJc w:val="right"/>
      <w:pPr>
        <w:ind w:left="2724" w:hanging="420"/>
      </w:pPr>
    </w:lvl>
    <w:lvl w:ilvl="6" w:tentative="0">
      <w:start w:val="1"/>
      <w:numFmt w:val="decimal"/>
      <w:lvlText w:val="%7."/>
      <w:lvlJc w:val="left"/>
      <w:pPr>
        <w:ind w:left="3144" w:hanging="420"/>
      </w:pPr>
    </w:lvl>
    <w:lvl w:ilvl="7" w:tentative="0">
      <w:start w:val="1"/>
      <w:numFmt w:val="lowerLetter"/>
      <w:lvlText w:val="%8)"/>
      <w:lvlJc w:val="left"/>
      <w:pPr>
        <w:ind w:left="3564" w:hanging="420"/>
      </w:pPr>
    </w:lvl>
    <w:lvl w:ilvl="8" w:tentative="0">
      <w:start w:val="1"/>
      <w:numFmt w:val="lowerRoman"/>
      <w:lvlText w:val="%9."/>
      <w:lvlJc w:val="right"/>
      <w:pPr>
        <w:ind w:left="39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A2"/>
    <w:rsid w:val="001B7AD1"/>
    <w:rsid w:val="00435D40"/>
    <w:rsid w:val="00436572"/>
    <w:rsid w:val="005A01A2"/>
    <w:rsid w:val="005A458E"/>
    <w:rsid w:val="008D2E48"/>
    <w:rsid w:val="4082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234</Characters>
  <Lines>1</Lines>
  <Paragraphs>1</Paragraphs>
  <TotalTime>1</TotalTime>
  <ScaleCrop>false</ScaleCrop>
  <LinksUpToDate>false</LinksUpToDate>
  <CharactersWithSpaces>236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2019-10-21T03:52:00Z</dcterms:created>
  <dc:creator>dongYP</dc:creator>
  <cp:lastModifiedBy>陈辉</cp:lastModifiedBy>
  <dcterms:modified xsi:type="dcterms:W3CDTF">2022-03-11T08:02:04Z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E30A306A69944CC0B18E932C26B061E2</vt:lpwstr>
  </property>
</Properties>
</file>