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9.2.6 主要功能房间的采光系数满足现行国家标准《建筑采光设计标准》GB50033 的要求。（总分8分）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本条得分：_</w:t>
      </w:r>
      <w:r>
        <w:rPr>
          <w:rFonts w:hint="eastAsia"/>
          <w:b/>
          <w:bCs/>
          <w:lang w:val="en-US" w:eastAsia="zh-CN"/>
        </w:rPr>
        <w:t>7</w:t>
      </w:r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autoSpaceDE w:val="0"/>
        <w:autoSpaceDN w:val="0"/>
        <w:adjustRightInd w:val="0"/>
        <w:snapToGrid w:val="0"/>
        <w:spacing w:line="360" w:lineRule="exact"/>
        <w:rPr>
          <w:rFonts w:eastAsia="黑体"/>
          <w:b/>
          <w:bCs/>
          <w:szCs w:val="32"/>
        </w:rPr>
      </w:pPr>
    </w:p>
    <w:p>
      <w:pPr>
        <w:pStyle w:val="11"/>
        <w:adjustRightInd w:val="0"/>
        <w:snapToGrid w:val="0"/>
        <w:spacing w:line="288" w:lineRule="auto"/>
        <w:ind w:left="-4" w:firstLine="0" w:firstLineChars="0"/>
        <w:rPr>
          <w:b/>
          <w:szCs w:val="21"/>
        </w:rPr>
      </w:pPr>
      <w:r>
        <w:rPr>
          <w:b/>
          <w:szCs w:val="21"/>
          <w:lang w:val="zh-CN"/>
        </w:rPr>
        <w:t>1）自评得分</w:t>
      </w:r>
    </w:p>
    <w:p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kern w:val="0"/>
        </w:rPr>
        <w:t>居住建筑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2035"/>
        <w:gridCol w:w="150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评价内容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评价分值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卧室、起居室的窗地面积比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达到</w:t>
            </w:r>
            <w:r>
              <w:rPr>
                <w:kern w:val="0"/>
                <w:sz w:val="21"/>
                <w:szCs w:val="21"/>
              </w:rPr>
              <w:t>1/6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/>
              <w:keepLines/>
              <w:spacing w:before="340" w:after="330" w:line="240" w:lineRule="auto"/>
              <w:jc w:val="center"/>
              <w:rPr>
                <w:rFonts w:hint="default" w:eastAsia="宋体"/>
                <w:b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44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rPr>
                <w:b/>
                <w:bCs/>
                <w:kern w:val="44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达到</w:t>
            </w:r>
            <w:r>
              <w:rPr>
                <w:kern w:val="0"/>
                <w:sz w:val="21"/>
                <w:szCs w:val="21"/>
              </w:rPr>
              <w:t>1/5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/>
                <w:bCs/>
                <w:kern w:val="44"/>
                <w:sz w:val="18"/>
                <w:szCs w:val="18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-123514998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bCs/>
          <w:lang w:val="zh-CN"/>
        </w:rPr>
        <w:t>公共建筑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6"/>
        <w:gridCol w:w="1974"/>
        <w:gridCol w:w="149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评价内容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评价分值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主要功能房间采光系数满足现行国家标准《建筑采光设计标准》</w:t>
            </w:r>
            <w:r>
              <w:rPr>
                <w:bCs/>
                <w:kern w:val="0"/>
                <w:sz w:val="21"/>
                <w:szCs w:val="21"/>
              </w:rPr>
              <w:t>GB50033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要求的面积比例</w:t>
            </w:r>
            <w:r>
              <w:rPr>
                <w:bCs/>
                <w:i/>
                <w:kern w:val="0"/>
                <w:sz w:val="21"/>
                <w:szCs w:val="21"/>
              </w:rPr>
              <w:t>R</w:t>
            </w:r>
            <w:r>
              <w:rPr>
                <w:bCs/>
                <w:i/>
                <w:kern w:val="0"/>
                <w:sz w:val="21"/>
                <w:szCs w:val="21"/>
                <w:vertAlign w:val="subscript"/>
              </w:rPr>
              <w:t>A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60%</w:t>
            </w:r>
            <w:r>
              <w:rPr>
                <w:rFonts w:hint="eastAsia" w:eastAsiaTheme="minorEastAsia"/>
                <w:bCs/>
                <w:kern w:val="0"/>
                <w:sz w:val="21"/>
                <w:szCs w:val="21"/>
              </w:rPr>
              <w:t>≤</w:t>
            </w:r>
            <w:r>
              <w:rPr>
                <w:bCs/>
                <w:i/>
                <w:kern w:val="0"/>
                <w:sz w:val="21"/>
                <w:szCs w:val="21"/>
              </w:rPr>
              <w:t>R</w:t>
            </w:r>
            <w:r>
              <w:rPr>
                <w:bCs/>
                <w:i/>
                <w:kern w:val="0"/>
                <w:sz w:val="21"/>
                <w:szCs w:val="21"/>
                <w:vertAlign w:val="subscript"/>
              </w:rPr>
              <w:t>A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65%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/>
              <w:keepLines/>
              <w:spacing w:before="340" w:after="330" w:line="240" w:lineRule="auto"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29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5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65%</w:t>
            </w:r>
            <w:r>
              <w:rPr>
                <w:rFonts w:hint="eastAsia" w:eastAsiaTheme="minorEastAsia"/>
                <w:bCs/>
                <w:kern w:val="0"/>
                <w:sz w:val="21"/>
                <w:szCs w:val="21"/>
              </w:rPr>
              <w:t>≤</w:t>
            </w:r>
            <w:r>
              <w:rPr>
                <w:bCs/>
                <w:i/>
                <w:kern w:val="0"/>
                <w:sz w:val="21"/>
                <w:szCs w:val="21"/>
              </w:rPr>
              <w:t>R</w:t>
            </w:r>
            <w:r>
              <w:rPr>
                <w:bCs/>
                <w:i/>
                <w:kern w:val="0"/>
                <w:sz w:val="21"/>
                <w:szCs w:val="21"/>
                <w:vertAlign w:val="subscript"/>
              </w:rPr>
              <w:t>A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70%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"/>
              <w:keepNext/>
              <w:keepLines/>
              <w:spacing w:before="340" w:after="330"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5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70%</w:t>
            </w:r>
            <w:r>
              <w:rPr>
                <w:rFonts w:hint="eastAsia" w:eastAsiaTheme="minorEastAsia"/>
                <w:bCs/>
                <w:kern w:val="0"/>
                <w:sz w:val="21"/>
                <w:szCs w:val="21"/>
              </w:rPr>
              <w:t>≤</w:t>
            </w:r>
            <w:r>
              <w:rPr>
                <w:bCs/>
                <w:i/>
                <w:kern w:val="0"/>
                <w:sz w:val="21"/>
                <w:szCs w:val="21"/>
              </w:rPr>
              <w:t>R</w:t>
            </w:r>
            <w:r>
              <w:rPr>
                <w:bCs/>
                <w:i/>
                <w:kern w:val="0"/>
                <w:sz w:val="21"/>
                <w:szCs w:val="21"/>
                <w:vertAlign w:val="subscript"/>
              </w:rPr>
              <w:t>A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75%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"/>
              <w:keepNext/>
              <w:keepLines/>
              <w:spacing w:before="340" w:after="330"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5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40" w:lineRule="auto"/>
              <w:jc w:val="center"/>
              <w:rPr>
                <w:b/>
                <w:bCs/>
                <w:i/>
                <w:kern w:val="44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i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75%</w:t>
            </w:r>
            <w:r>
              <w:rPr>
                <w:rFonts w:hint="eastAsia" w:eastAsiaTheme="minorEastAsia"/>
                <w:bCs/>
                <w:kern w:val="0"/>
                <w:sz w:val="21"/>
                <w:szCs w:val="21"/>
              </w:rPr>
              <w:t>≤</w:t>
            </w:r>
            <w:r>
              <w:rPr>
                <w:bCs/>
                <w:i/>
                <w:kern w:val="0"/>
                <w:sz w:val="21"/>
                <w:szCs w:val="21"/>
              </w:rPr>
              <w:t>R</w:t>
            </w:r>
            <w:r>
              <w:rPr>
                <w:bCs/>
                <w:i/>
                <w:kern w:val="0"/>
                <w:sz w:val="21"/>
                <w:szCs w:val="21"/>
                <w:vertAlign w:val="subscript"/>
              </w:rPr>
              <w:t>A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80%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"/>
              <w:keepNext/>
              <w:keepLines/>
              <w:spacing w:before="340" w:after="330"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40" w:lineRule="auto"/>
              <w:jc w:val="center"/>
              <w:rPr>
                <w:b/>
                <w:bCs/>
                <w:i/>
                <w:kern w:val="44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i/>
                <w:kern w:val="0"/>
                <w:sz w:val="21"/>
                <w:szCs w:val="21"/>
              </w:rPr>
            </w:pPr>
            <w:r>
              <w:rPr>
                <w:bCs/>
                <w:i/>
                <w:kern w:val="0"/>
                <w:sz w:val="21"/>
                <w:szCs w:val="21"/>
              </w:rPr>
              <w:t>R</w:t>
            </w:r>
            <w:r>
              <w:rPr>
                <w:bCs/>
                <w:i/>
                <w:kern w:val="0"/>
                <w:sz w:val="21"/>
                <w:szCs w:val="21"/>
                <w:vertAlign w:val="subscript"/>
              </w:rPr>
              <w:t>A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≥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80%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/>
              <w:keepLines/>
              <w:spacing w:before="340" w:after="330" w:line="240" w:lineRule="auto"/>
              <w:jc w:val="center"/>
              <w:rPr>
                <w:b/>
                <w:bCs/>
                <w:kern w:val="44"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szCs w:val="21"/>
        </w:rPr>
      </w:pPr>
    </w:p>
    <w:p>
      <w:pPr>
        <w:pStyle w:val="11"/>
        <w:adjustRightInd w:val="0"/>
        <w:snapToGrid w:val="0"/>
        <w:spacing w:line="288" w:lineRule="auto"/>
        <w:ind w:left="-4"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pStyle w:val="12"/>
        <w:spacing w:line="288" w:lineRule="auto"/>
        <w:ind w:left="-54" w:hanging="55"/>
        <w:outlineLvl w:val="9"/>
        <w:rPr>
          <w:sz w:val="21"/>
          <w:szCs w:val="21"/>
        </w:rPr>
      </w:pPr>
      <w:r>
        <w:rPr>
          <w:sz w:val="21"/>
          <w:szCs w:val="21"/>
        </w:rPr>
        <w:t>项目所在地：</w:t>
      </w:r>
      <w:r>
        <w:rPr>
          <w:rFonts w:hint="eastAsia"/>
          <w:sz w:val="21"/>
          <w:szCs w:val="21"/>
        </w:rPr>
        <w:t>四川省X</w:t>
      </w:r>
      <w:r>
        <w:rPr>
          <w:sz w:val="21"/>
          <w:szCs w:val="21"/>
        </w:rPr>
        <w:t>XX</w:t>
      </w:r>
      <w:r>
        <w:rPr>
          <w:rFonts w:hint="eastAsia"/>
          <w:sz w:val="21"/>
          <w:szCs w:val="21"/>
        </w:rPr>
        <w:t>市</w:t>
      </w:r>
      <w:r>
        <w:rPr>
          <w:sz w:val="21"/>
          <w:szCs w:val="21"/>
        </w:rPr>
        <w:t>，处于__类光气候区</w:t>
      </w:r>
      <w:r>
        <w:rPr>
          <w:rFonts w:hint="eastAsia"/>
          <w:sz w:val="21"/>
          <w:szCs w:val="21"/>
        </w:rPr>
        <w:t>。</w:t>
      </w:r>
    </w:p>
    <w:p>
      <w:pPr>
        <w:pStyle w:val="12"/>
        <w:spacing w:line="288" w:lineRule="auto"/>
        <w:ind w:left="-54" w:hanging="55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居住建筑</w:t>
      </w:r>
    </w:p>
    <w:p>
      <w:pPr>
        <w:pStyle w:val="12"/>
        <w:spacing w:line="288" w:lineRule="auto"/>
        <w:ind w:left="-54" w:hanging="55"/>
        <w:outlineLvl w:val="9"/>
        <w:rPr>
          <w:sz w:val="21"/>
          <w:szCs w:val="21"/>
        </w:rPr>
      </w:pPr>
      <w:sdt>
        <w:sdtPr>
          <w:rPr>
            <w:b/>
            <w:bCs/>
            <w:szCs w:val="21"/>
            <w:lang w:val="zh-CN"/>
          </w:rPr>
          <w:id w:val="-95301628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主要功能房间窗地面积比统计表</w:t>
      </w:r>
      <w:r>
        <w:rPr>
          <w:rFonts w:hint="eastAsia"/>
          <w:sz w:val="21"/>
          <w:szCs w:val="21"/>
        </w:rPr>
        <w:t>:</w:t>
      </w:r>
    </w:p>
    <w:p>
      <w:pPr>
        <w:pStyle w:val="12"/>
        <w:spacing w:line="288" w:lineRule="auto"/>
        <w:ind w:left="-54" w:hanging="55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以 </w:t>
      </w:r>
      <w:r>
        <w:rPr>
          <w:sz w:val="21"/>
          <w:szCs w:val="21"/>
        </w:rPr>
        <w:t>例</w:t>
      </w:r>
      <w:r>
        <w:rPr>
          <w:rFonts w:hint="eastAsia"/>
          <w:sz w:val="21"/>
          <w:szCs w:val="21"/>
        </w:rPr>
        <w:t>：</w:t>
      </w:r>
    </w:p>
    <w:tbl>
      <w:tblPr>
        <w:tblStyle w:val="5"/>
        <w:tblW w:w="85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223"/>
        <w:gridCol w:w="1684"/>
        <w:gridCol w:w="1684"/>
        <w:gridCol w:w="1412"/>
        <w:gridCol w:w="13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2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户型</w:t>
            </w:r>
          </w:p>
        </w:tc>
        <w:tc>
          <w:tcPr>
            <w:tcW w:w="12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房间类型</w:t>
            </w:r>
          </w:p>
        </w:tc>
        <w:tc>
          <w:tcPr>
            <w:tcW w:w="168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采光等级</w:t>
            </w:r>
          </w:p>
        </w:tc>
        <w:tc>
          <w:tcPr>
            <w:tcW w:w="168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外窗类型（侧窗、矩形天窗、锯齿形天窗、平天窗）</w:t>
            </w:r>
          </w:p>
        </w:tc>
        <w:tc>
          <w:tcPr>
            <w:tcW w:w="278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窗地面积比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2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实际值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标准要求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2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2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2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2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2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2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pStyle w:val="12"/>
        <w:spacing w:line="288" w:lineRule="auto"/>
        <w:ind w:left="-55" w:leftChars="-202" w:hanging="369" w:hangingChars="176"/>
        <w:outlineLvl w:val="9"/>
        <w:rPr>
          <w:sz w:val="21"/>
          <w:szCs w:val="21"/>
        </w:rPr>
      </w:pPr>
    </w:p>
    <w:p>
      <w:pPr>
        <w:pStyle w:val="12"/>
        <w:spacing w:line="288" w:lineRule="auto"/>
        <w:ind w:left="-54" w:hanging="55"/>
        <w:outlineLvl w:val="9"/>
        <w:rPr>
          <w:b/>
          <w:szCs w:val="21"/>
        </w:rPr>
      </w:pPr>
      <w:sdt>
        <w:sdtPr>
          <w:rPr>
            <w:b/>
            <w:bCs/>
            <w:szCs w:val="21"/>
            <w:lang w:val="zh-CN"/>
          </w:rPr>
          <w:id w:val="-10774940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sz w:val="21"/>
          <w:szCs w:val="21"/>
        </w:rPr>
        <w:t>公共建筑</w:t>
      </w:r>
    </w:p>
    <w:p>
      <w:pPr>
        <w:pStyle w:val="12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主要功能房间采光系数统计表</w:t>
      </w:r>
    </w:p>
    <w:tbl>
      <w:tblPr>
        <w:tblStyle w:val="5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475"/>
        <w:gridCol w:w="2476"/>
        <w:gridCol w:w="2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分析区域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主要功能空间面积（</w:t>
            </w:r>
            <w:r>
              <w:rPr>
                <w:bCs/>
                <w:szCs w:val="21"/>
              </w:rPr>
              <w:t>m</w:t>
            </w:r>
            <w:r>
              <w:rPr>
                <w:bCs/>
                <w:szCs w:val="21"/>
                <w:vertAlign w:val="superscript"/>
              </w:rPr>
              <w:t>2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24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天然采光达标面积（</w:t>
            </w:r>
            <w:r>
              <w:rPr>
                <w:bCs/>
                <w:szCs w:val="21"/>
              </w:rPr>
              <w:t>m</w:t>
            </w:r>
            <w:r>
              <w:rPr>
                <w:bCs/>
                <w:szCs w:val="21"/>
                <w:vertAlign w:val="superscript"/>
              </w:rPr>
              <w:t>2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2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天然采光达标比例（</w:t>
            </w:r>
            <w:r>
              <w:rPr>
                <w:bCs/>
                <w:szCs w:val="21"/>
              </w:rPr>
              <w:t>%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</w:tbl>
    <w:p>
      <w:pPr>
        <w:pStyle w:val="11"/>
        <w:adjustRightInd w:val="0"/>
        <w:snapToGrid w:val="0"/>
        <w:spacing w:line="288" w:lineRule="auto"/>
        <w:ind w:left="-4"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2"/>
        <w:tabs>
          <w:tab w:val="left" w:pos="0"/>
        </w:tabs>
        <w:spacing w:line="288" w:lineRule="auto"/>
        <w:ind w:leftChars="-2" w:hanging="4" w:hangingChars="2"/>
        <w:outlineLvl w:val="9"/>
        <w:rPr>
          <w:lang w:val="zh-CN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>
      <w:pPr>
        <w:pStyle w:val="11"/>
        <w:numPr>
          <w:ilvl w:val="0"/>
          <w:numId w:val="1"/>
        </w:numPr>
        <w:spacing w:line="288" w:lineRule="auto"/>
        <w:ind w:firstLineChars="0"/>
        <w:rPr>
          <w:szCs w:val="21"/>
          <w:lang w:val="zh-CN"/>
        </w:rPr>
      </w:pPr>
      <w:r>
        <w:rPr>
          <w:szCs w:val="21"/>
          <w:lang w:val="zh-CN"/>
        </w:rPr>
        <w:t>建筑平面图：应体现不同户型的房间布局、窗户的相对位置；</w:t>
      </w:r>
    </w:p>
    <w:p>
      <w:pPr>
        <w:pStyle w:val="11"/>
        <w:numPr>
          <w:ilvl w:val="0"/>
          <w:numId w:val="1"/>
        </w:numPr>
        <w:spacing w:line="288" w:lineRule="auto"/>
        <w:ind w:firstLineChars="0"/>
        <w:rPr>
          <w:szCs w:val="21"/>
          <w:lang w:val="zh-CN"/>
        </w:rPr>
      </w:pPr>
      <w:r>
        <w:rPr>
          <w:szCs w:val="21"/>
          <w:lang w:val="zh-CN"/>
        </w:rPr>
        <w:t>建筑立面图和门窗表：应体现窗户的位置及尺寸；</w:t>
      </w:r>
    </w:p>
    <w:p>
      <w:pPr>
        <w:pStyle w:val="11"/>
        <w:numPr>
          <w:ilvl w:val="0"/>
          <w:numId w:val="1"/>
        </w:numPr>
        <w:spacing w:line="288" w:lineRule="auto"/>
        <w:ind w:firstLineChars="0"/>
        <w:rPr>
          <w:szCs w:val="21"/>
          <w:lang w:val="zh-CN"/>
        </w:rPr>
      </w:pPr>
      <w:r>
        <w:rPr>
          <w:szCs w:val="21"/>
          <w:lang w:val="zh-CN"/>
        </w:rPr>
        <w:t>窗地面积比计算书：</w:t>
      </w:r>
      <w:r>
        <w:rPr>
          <w:rFonts w:hint="eastAsia"/>
          <w:szCs w:val="21"/>
          <w:lang w:val="zh-CN"/>
        </w:rPr>
        <w:t>对于居住建筑，</w:t>
      </w:r>
      <w:r>
        <w:rPr>
          <w:szCs w:val="21"/>
          <w:lang w:val="zh-CN"/>
        </w:rPr>
        <w:t>应有各典型户型内各空间的窗地面积比例计算过程，并与图纸一致</w:t>
      </w:r>
      <w:r>
        <w:rPr>
          <w:rFonts w:hint="eastAsia"/>
          <w:szCs w:val="21"/>
          <w:lang w:val="zh-CN"/>
        </w:rPr>
        <w:t>；</w:t>
      </w:r>
    </w:p>
    <w:p>
      <w:pPr>
        <w:pStyle w:val="11"/>
        <w:numPr>
          <w:ilvl w:val="0"/>
          <w:numId w:val="1"/>
        </w:numPr>
        <w:spacing w:line="288" w:lineRule="auto"/>
        <w:ind w:firstLineChars="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自然采光模拟分析报告：对于公共建筑，应说明模拟软件名称及版本、模拟边界条件设定，网格设计，工作面、材料的光学参数、模拟结果、室外建筑物或构筑物情况、室外地面反射率等，应对各层主要功能房间天然采光达标的面积进行统计。</w:t>
      </w:r>
    </w:p>
    <w:p>
      <w:pPr>
        <w:pStyle w:val="12"/>
        <w:tabs>
          <w:tab w:val="left" w:pos="0"/>
        </w:tabs>
        <w:spacing w:line="288" w:lineRule="auto"/>
        <w:ind w:left="17" w:leftChars="8"/>
        <w:outlineLvl w:val="9"/>
        <w:rPr>
          <w:b/>
          <w:sz w:val="21"/>
          <w:szCs w:val="21"/>
        </w:rPr>
      </w:pPr>
    </w:p>
    <w:p>
      <w:pPr>
        <w:pStyle w:val="12"/>
        <w:tabs>
          <w:tab w:val="left" w:pos="0"/>
        </w:tabs>
        <w:spacing w:line="288" w:lineRule="auto"/>
        <w:ind w:leftChars="-2" w:hanging="4" w:hangingChars="2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实际提交材料：</w:t>
      </w:r>
    </w:p>
    <w:tbl>
      <w:tblPr>
        <w:tblStyle w:val="5"/>
        <w:tblW w:w="8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8417" w:type="dxa"/>
          </w:tcPr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8C6982"/>
    <w:multiLevelType w:val="multilevel"/>
    <w:tmpl w:val="708C6982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C4"/>
    <w:rsid w:val="003E035D"/>
    <w:rsid w:val="0043030B"/>
    <w:rsid w:val="008B7529"/>
    <w:rsid w:val="00A234C4"/>
    <w:rsid w:val="00B62E8C"/>
    <w:rsid w:val="00F47B85"/>
    <w:rsid w:val="63E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3">
    <w:name w:val="条文 Char"/>
    <w:link w:val="12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597</Characters>
  <Lines>5</Lines>
  <Paragraphs>1</Paragraphs>
  <TotalTime>1</TotalTime>
  <ScaleCrop>false</ScaleCrop>
  <LinksUpToDate>false</LinksUpToDate>
  <CharactersWithSpaces>600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2019-10-22T01:35:00Z</dcterms:created>
  <dc:creator>dongYP</dc:creator>
  <cp:lastModifiedBy>陈辉</cp:lastModifiedBy>
  <dcterms:modified xsi:type="dcterms:W3CDTF">2022-03-11T08:08:15Z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EBD34F261C824363857DAF66C886C954</vt:lpwstr>
  </property>
</Properties>
</file>