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9.2.8 采取可调节遮阳措施，降低夏季太阳辐射得热。（总分12分）</w:t>
      </w:r>
    </w:p>
    <w:p>
      <w:pPr>
        <w:spacing w:after="156" w:afterLines="50" w:line="288" w:lineRule="auto"/>
        <w:jc w:val="left"/>
        <w:rPr>
          <w:b/>
          <w:bCs/>
          <w:lang w:val="zh-CN"/>
        </w:rPr>
      </w:pPr>
      <w:r>
        <w:rPr>
          <w:b/>
          <w:bCs/>
          <w:lang w:val="zh-CN"/>
        </w:rPr>
        <w:t>本条得分：</w:t>
      </w:r>
      <w:r>
        <w:rPr>
          <w:b/>
          <w:bCs/>
        </w:rPr>
        <w:t>_</w:t>
      </w:r>
      <w:r>
        <w:rPr>
          <w:rFonts w:hint="eastAsia"/>
          <w:b/>
          <w:bCs/>
          <w:lang w:val="en-US" w:eastAsia="zh-CN"/>
        </w:rPr>
        <w:t>12</w:t>
      </w:r>
      <w:r>
        <w:rPr>
          <w:b/>
          <w:bCs/>
        </w:rPr>
        <w:t>__</w:t>
      </w:r>
      <w:r>
        <w:rPr>
          <w:b/>
          <w:bCs/>
          <w:lang w:val="zh-CN"/>
        </w:rPr>
        <w:t>；</w:t>
      </w:r>
    </w:p>
    <w:p>
      <w:pPr>
        <w:spacing w:line="288" w:lineRule="auto"/>
        <w:rPr>
          <w:b/>
          <w:szCs w:val="21"/>
        </w:rPr>
      </w:pPr>
    </w:p>
    <w:p>
      <w:pPr>
        <w:pStyle w:val="10"/>
        <w:spacing w:line="288" w:lineRule="auto"/>
        <w:ind w:left="-4" w:firstLine="0" w:firstLineChars="0"/>
        <w:rPr>
          <w:b/>
          <w:szCs w:val="21"/>
        </w:rPr>
      </w:pPr>
      <w:r>
        <w:rPr>
          <w:b/>
          <w:szCs w:val="21"/>
          <w:lang w:val="zh-CN"/>
        </w:rPr>
        <w:t>1）自评得分</w:t>
      </w:r>
    </w:p>
    <w:tbl>
      <w:tblPr>
        <w:tblStyle w:val="5"/>
        <w:tblpPr w:leftFromText="180" w:rightFromText="180" w:vertAnchor="text" w:horzAnchor="margin" w:tblpXSpec="center" w:tblpY="22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0"/>
        <w:gridCol w:w="1026"/>
        <w:gridCol w:w="1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47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评价内容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评价</w:t>
            </w:r>
          </w:p>
          <w:p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分值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自评</w:t>
            </w:r>
          </w:p>
          <w:p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70" w:type="dxa"/>
            <w:vAlign w:val="center"/>
          </w:tcPr>
          <w:p>
            <w:pPr>
              <w:pStyle w:val="10"/>
              <w:ind w:firstLine="0" w:firstLineChars="0"/>
              <w:rPr>
                <w:szCs w:val="21"/>
              </w:rPr>
            </w:pPr>
            <w:r>
              <w:rPr>
                <w:szCs w:val="21"/>
              </w:rPr>
              <w:t>外窗和幕墙透明部分中，有可控遮阳调节措施的面积比例达到25%</w:t>
            </w:r>
          </w:p>
        </w:tc>
        <w:tc>
          <w:tcPr>
            <w:tcW w:w="1026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026" w:type="dxa"/>
            <w:vMerge w:val="restart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17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6470" w:type="dxa"/>
            <w:vAlign w:val="center"/>
          </w:tcPr>
          <w:p>
            <w:pPr>
              <w:pStyle w:val="10"/>
              <w:ind w:firstLine="0" w:firstLineChars="0"/>
              <w:rPr>
                <w:szCs w:val="21"/>
              </w:rPr>
            </w:pPr>
            <w:r>
              <w:rPr>
                <w:szCs w:val="21"/>
              </w:rPr>
              <w:t>外窗和幕墙透明部分中，有可控遮阳调节措施的面积比例达到50%</w:t>
            </w:r>
          </w:p>
        </w:tc>
        <w:tc>
          <w:tcPr>
            <w:tcW w:w="1026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026" w:type="dxa"/>
            <w:vMerge w:val="continue"/>
            <w:vAlign w:val="center"/>
          </w:tcPr>
          <w:p>
            <w:pPr>
              <w:pStyle w:val="10"/>
              <w:ind w:firstLine="0" w:firstLineChars="0"/>
              <w:jc w:val="center"/>
              <w:rPr>
                <w:szCs w:val="21"/>
              </w:rPr>
            </w:pPr>
          </w:p>
        </w:tc>
      </w:tr>
    </w:tbl>
    <w:p>
      <w:pPr>
        <w:spacing w:line="288" w:lineRule="auto"/>
        <w:rPr>
          <w:b/>
          <w:szCs w:val="21"/>
        </w:rPr>
      </w:pPr>
    </w:p>
    <w:p>
      <w:pPr>
        <w:pStyle w:val="10"/>
        <w:spacing w:line="288" w:lineRule="auto"/>
        <w:ind w:left="-4" w:firstLine="0" w:firstLineChars="0"/>
        <w:rPr>
          <w:b/>
          <w:szCs w:val="21"/>
          <w:lang w:val="zh-CN"/>
        </w:rPr>
      </w:pPr>
      <w:r>
        <w:rPr>
          <w:b/>
          <w:szCs w:val="21"/>
          <w:lang w:val="zh-CN"/>
        </w:rPr>
        <w:t>2）评价要点</w:t>
      </w:r>
    </w:p>
    <w:p>
      <w:pPr>
        <w:spacing w:line="288" w:lineRule="auto"/>
        <w:rPr>
          <w:b/>
          <w:szCs w:val="21"/>
          <w:lang w:val="zh-CN"/>
        </w:rPr>
      </w:pPr>
      <w:r>
        <w:rPr>
          <w:szCs w:val="21"/>
        </w:rPr>
        <w:t>外窗和幕墙透明部分面积为</w:t>
      </w:r>
      <w:r>
        <w:rPr>
          <w:rFonts w:hint="eastAsia"/>
          <w:szCs w:val="21"/>
          <w:lang w:val="zh-CN"/>
        </w:rPr>
        <w:t>m</w:t>
      </w:r>
      <w:r>
        <w:rPr>
          <w:rFonts w:hint="eastAsia"/>
          <w:szCs w:val="21"/>
          <w:vertAlign w:val="superscript"/>
          <w:lang w:val="zh-CN"/>
        </w:rPr>
        <w:t>2</w:t>
      </w:r>
      <w:r>
        <w:rPr>
          <w:szCs w:val="21"/>
        </w:rPr>
        <w:t>，其中有可控遮阳调节措施的面积为</w:t>
      </w:r>
      <w:r>
        <w:rPr>
          <w:rFonts w:hint="eastAsia"/>
          <w:szCs w:val="21"/>
          <w:lang w:val="zh-CN"/>
        </w:rPr>
        <w:t>m</w:t>
      </w:r>
      <w:r>
        <w:rPr>
          <w:rFonts w:hint="eastAsia"/>
          <w:szCs w:val="21"/>
          <w:vertAlign w:val="superscript"/>
          <w:lang w:val="zh-CN"/>
        </w:rPr>
        <w:t>2</w:t>
      </w:r>
      <w:r>
        <w:rPr>
          <w:szCs w:val="21"/>
        </w:rPr>
        <w:t>，比例为</w:t>
      </w:r>
      <w:r>
        <w:rPr>
          <w:szCs w:val="21"/>
          <w:lang w:val="zh-CN"/>
        </w:rPr>
        <w:t>%</w:t>
      </w:r>
      <w:r>
        <w:rPr>
          <w:rFonts w:hint="eastAsia"/>
          <w:szCs w:val="21"/>
          <w:lang w:val="zh-CN"/>
        </w:rPr>
        <w:t>。</w:t>
      </w:r>
    </w:p>
    <w:p>
      <w:pPr>
        <w:spacing w:line="288" w:lineRule="auto"/>
        <w:rPr>
          <w:b/>
          <w:szCs w:val="21"/>
          <w:lang w:val="zh-CN"/>
        </w:rPr>
      </w:pPr>
      <w:r>
        <w:rPr>
          <w:szCs w:val="21"/>
        </w:rPr>
        <w:t>简要说明所采用的可控遮阳技术及使用位置。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line="288" w:lineRule="auto"/>
              <w:ind w:firstLine="420" w:firstLineChars="200"/>
              <w:outlineLvl w:val="9"/>
              <w:rPr>
                <w:sz w:val="21"/>
                <w:szCs w:val="21"/>
              </w:rPr>
            </w:pPr>
          </w:p>
        </w:tc>
      </w:tr>
    </w:tbl>
    <w:p>
      <w:pPr>
        <w:spacing w:line="288" w:lineRule="auto"/>
        <w:rPr>
          <w:b/>
          <w:szCs w:val="21"/>
        </w:rPr>
      </w:pPr>
    </w:p>
    <w:p>
      <w:pPr>
        <w:pStyle w:val="10"/>
        <w:spacing w:line="288" w:lineRule="auto"/>
        <w:ind w:left="-4" w:firstLine="0" w:firstLineChars="0"/>
        <w:rPr>
          <w:b/>
          <w:szCs w:val="21"/>
          <w:lang w:val="zh-CN"/>
        </w:rPr>
      </w:pPr>
      <w:r>
        <w:rPr>
          <w:b/>
          <w:szCs w:val="21"/>
          <w:lang w:val="zh-CN"/>
        </w:rPr>
        <w:t>3）证明材料</w:t>
      </w:r>
    </w:p>
    <w:p>
      <w:pPr>
        <w:pStyle w:val="11"/>
        <w:spacing w:line="288" w:lineRule="auto"/>
        <w:ind w:left="-424" w:leftChars="-202" w:firstLine="422" w:firstLineChars="200"/>
        <w:outlineLvl w:val="9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提交材料及要求</w:t>
      </w:r>
      <w:r>
        <w:rPr>
          <w:b/>
          <w:sz w:val="21"/>
          <w:szCs w:val="21"/>
        </w:rPr>
        <w:t>：</w:t>
      </w:r>
    </w:p>
    <w:p>
      <w:pPr>
        <w:pStyle w:val="11"/>
        <w:numPr>
          <w:ilvl w:val="0"/>
          <w:numId w:val="1"/>
        </w:numPr>
        <w:spacing w:line="288" w:lineRule="auto"/>
        <w:ind w:left="420" w:hangingChars="200"/>
        <w:outlineLvl w:val="9"/>
        <w:rPr>
          <w:sz w:val="21"/>
          <w:szCs w:val="21"/>
        </w:rPr>
      </w:pPr>
      <w:r>
        <w:rPr>
          <w:sz w:val="21"/>
          <w:szCs w:val="21"/>
        </w:rPr>
        <w:t>遮阳设计图纸及设计说明：遮阳图纸需提供遮阳系统详细的控制安装节点图，以及遮阳系统的平面图、立面图</w:t>
      </w:r>
      <w:r>
        <w:rPr>
          <w:rFonts w:hint="eastAsia"/>
          <w:sz w:val="21"/>
          <w:szCs w:val="21"/>
        </w:rPr>
        <w:t>；</w:t>
      </w:r>
    </w:p>
    <w:p>
      <w:pPr>
        <w:pStyle w:val="11"/>
        <w:numPr>
          <w:ilvl w:val="0"/>
          <w:numId w:val="1"/>
        </w:numPr>
        <w:spacing w:line="288" w:lineRule="auto"/>
        <w:ind w:left="420" w:hangingChars="200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可控遮阳覆盖率计算参数表：</w:t>
      </w:r>
      <w:r>
        <w:rPr>
          <w:sz w:val="21"/>
          <w:szCs w:val="21"/>
        </w:rPr>
        <w:t>应对建筑透明围护结构总面积、有太阳直射部分的面积、以及采取可调节遮阳措施的面积进行分项统计</w:t>
      </w:r>
      <w:r>
        <w:rPr>
          <w:rFonts w:hint="eastAsia"/>
          <w:sz w:val="21"/>
          <w:szCs w:val="21"/>
        </w:rPr>
        <w:t>。</w:t>
      </w:r>
    </w:p>
    <w:p>
      <w:pPr>
        <w:pStyle w:val="11"/>
        <w:tabs>
          <w:tab w:val="left" w:pos="0"/>
        </w:tabs>
        <w:spacing w:line="288" w:lineRule="auto"/>
        <w:ind w:leftChars="-2" w:hanging="4" w:hangingChars="2"/>
        <w:outlineLvl w:val="9"/>
        <w:rPr>
          <w:b/>
          <w:sz w:val="21"/>
          <w:szCs w:val="21"/>
        </w:rPr>
      </w:pPr>
    </w:p>
    <w:p>
      <w:pPr>
        <w:pStyle w:val="11"/>
        <w:tabs>
          <w:tab w:val="left" w:pos="0"/>
        </w:tabs>
        <w:spacing w:line="288" w:lineRule="auto"/>
        <w:ind w:leftChars="-2" w:hanging="4" w:hangingChars="2"/>
        <w:outlineLvl w:val="9"/>
        <w:rPr>
          <w:b/>
          <w:sz w:val="21"/>
          <w:szCs w:val="21"/>
        </w:rPr>
      </w:pPr>
      <w:r>
        <w:rPr>
          <w:b/>
          <w:sz w:val="21"/>
          <w:szCs w:val="21"/>
        </w:rPr>
        <w:t>实际提交材料：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4" w:hRule="atLeast"/>
          <w:jc w:val="center"/>
        </w:trPr>
        <w:tc>
          <w:tcPr>
            <w:tcW w:w="8522" w:type="dxa"/>
          </w:tcPr>
          <w:p>
            <w:pPr>
              <w:spacing w:line="288" w:lineRule="auto"/>
              <w:rPr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7036E8"/>
    <w:multiLevelType w:val="multilevel"/>
    <w:tmpl w:val="707036E8"/>
    <w:lvl w:ilvl="0" w:tentative="0">
      <w:start w:val="1"/>
      <w:numFmt w:val="decimal"/>
      <w:lvlText w:val="%1."/>
      <w:lvlJc w:val="left"/>
      <w:pPr>
        <w:ind w:left="101" w:hanging="420"/>
      </w:pPr>
    </w:lvl>
    <w:lvl w:ilvl="1" w:tentative="0">
      <w:start w:val="1"/>
      <w:numFmt w:val="lowerLetter"/>
      <w:lvlText w:val="%2)"/>
      <w:lvlJc w:val="left"/>
      <w:pPr>
        <w:ind w:left="521" w:hanging="420"/>
      </w:pPr>
    </w:lvl>
    <w:lvl w:ilvl="2" w:tentative="0">
      <w:start w:val="1"/>
      <w:numFmt w:val="lowerRoman"/>
      <w:lvlText w:val="%3."/>
      <w:lvlJc w:val="right"/>
      <w:pPr>
        <w:ind w:left="941" w:hanging="420"/>
      </w:pPr>
    </w:lvl>
    <w:lvl w:ilvl="3" w:tentative="0">
      <w:start w:val="1"/>
      <w:numFmt w:val="decimal"/>
      <w:lvlText w:val="%4."/>
      <w:lvlJc w:val="left"/>
      <w:pPr>
        <w:ind w:left="1361" w:hanging="420"/>
      </w:pPr>
    </w:lvl>
    <w:lvl w:ilvl="4" w:tentative="0">
      <w:start w:val="1"/>
      <w:numFmt w:val="lowerLetter"/>
      <w:lvlText w:val="%5)"/>
      <w:lvlJc w:val="left"/>
      <w:pPr>
        <w:ind w:left="1781" w:hanging="420"/>
      </w:pPr>
    </w:lvl>
    <w:lvl w:ilvl="5" w:tentative="0">
      <w:start w:val="1"/>
      <w:numFmt w:val="lowerRoman"/>
      <w:lvlText w:val="%6."/>
      <w:lvlJc w:val="right"/>
      <w:pPr>
        <w:ind w:left="2201" w:hanging="420"/>
      </w:pPr>
    </w:lvl>
    <w:lvl w:ilvl="6" w:tentative="0">
      <w:start w:val="1"/>
      <w:numFmt w:val="decimal"/>
      <w:lvlText w:val="%7."/>
      <w:lvlJc w:val="left"/>
      <w:pPr>
        <w:ind w:left="2621" w:hanging="420"/>
      </w:pPr>
    </w:lvl>
    <w:lvl w:ilvl="7" w:tentative="0">
      <w:start w:val="1"/>
      <w:numFmt w:val="lowerLetter"/>
      <w:lvlText w:val="%8)"/>
      <w:lvlJc w:val="left"/>
      <w:pPr>
        <w:ind w:left="3041" w:hanging="420"/>
      </w:pPr>
    </w:lvl>
    <w:lvl w:ilvl="8" w:tentative="0">
      <w:start w:val="1"/>
      <w:numFmt w:val="lowerRoman"/>
      <w:lvlText w:val="%9."/>
      <w:lvlJc w:val="right"/>
      <w:pPr>
        <w:ind w:left="346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9AF"/>
    <w:rsid w:val="002629AF"/>
    <w:rsid w:val="003E035D"/>
    <w:rsid w:val="004A366B"/>
    <w:rsid w:val="00A66A67"/>
    <w:rsid w:val="30B1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条文"/>
    <w:basedOn w:val="1"/>
    <w:link w:val="12"/>
    <w:qFormat/>
    <w:uiPriority w:val="0"/>
    <w:pPr>
      <w:spacing w:line="300" w:lineRule="auto"/>
      <w:outlineLvl w:val="2"/>
    </w:pPr>
    <w:rPr>
      <w:sz w:val="24"/>
    </w:rPr>
  </w:style>
  <w:style w:type="character" w:customStyle="1" w:styleId="12">
    <w:name w:val="条文 Char"/>
    <w:link w:val="11"/>
    <w:qFormat/>
    <w:locked/>
    <w:uiPriority w:val="0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316</Characters>
  <Lines>2</Lines>
  <Paragraphs>1</Paragraphs>
  <TotalTime>3</TotalTime>
  <ScaleCrop>false</ScaleCrop>
  <LinksUpToDate>false</LinksUpToDate>
  <CharactersWithSpaces>317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2019-10-22T01:38:00Z</dcterms:created>
  <dc:creator>dongYP</dc:creator>
  <cp:lastModifiedBy>陈辉</cp:lastModifiedBy>
  <dcterms:modified xsi:type="dcterms:W3CDTF">2022-03-11T08:10:05Z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DDB6C3B8A23E48749432ED1A496161E8</vt:lpwstr>
  </property>
</Properties>
</file>