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石家庄太平河城市片区展示中心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石家庄中央商务区建设发展有限公司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参与单位名称：南京长江都市建筑设计股份有限公司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866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