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CD42" w14:textId="77777777" w:rsidR="001C76B6" w:rsidRDefault="001C76B6" w:rsidP="001C76B6">
      <w:pPr>
        <w:pStyle w:val="3"/>
      </w:pPr>
      <w:bookmarkStart w:id="0" w:name="_Toc504501018"/>
      <w:bookmarkStart w:id="1" w:name="_Toc509844763"/>
      <w:bookmarkStart w:id="2" w:name="_Toc92220007"/>
      <w:r>
        <w:rPr>
          <w:rFonts w:hint="eastAsia"/>
        </w:rPr>
        <w:t>外窗内外表面风压</w:t>
      </w:r>
      <w:bookmarkEnd w:id="0"/>
      <w:r>
        <w:rPr>
          <w:rFonts w:hint="eastAsia"/>
        </w:rPr>
        <w:t>差达标分析</w:t>
      </w:r>
      <w:bookmarkEnd w:id="1"/>
      <w:bookmarkEnd w:id="2"/>
    </w:p>
    <w:p w14:paraId="70DE2FB2" w14:textId="77777777" w:rsidR="001C76B6" w:rsidRDefault="001C76B6" w:rsidP="001C76B6">
      <w:pPr>
        <w:pStyle w:val="a0"/>
        <w:ind w:firstLine="420"/>
      </w:pPr>
      <w:r>
        <w:rPr>
          <w:rFonts w:hint="eastAsia"/>
          <w:lang w:val="en-US"/>
        </w:rPr>
        <w:t>分析</w:t>
      </w:r>
      <w:r w:rsidRPr="00E26DE8"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，</w:t>
      </w:r>
      <w:bookmarkStart w:id="3" w:name="季节9"/>
      <w:r>
        <w:rPr>
          <w:rFonts w:hint="eastAsia"/>
          <w:lang w:val="en-US"/>
        </w:rPr>
        <w:t>夏季</w:t>
      </w:r>
      <w:bookmarkEnd w:id="3"/>
      <w:r>
        <w:rPr>
          <w:rFonts w:hint="eastAsia"/>
          <w:lang w:val="en-US"/>
        </w:rPr>
        <w:t>为</w:t>
      </w:r>
      <w:r w:rsidRPr="00D85018">
        <w:rPr>
          <w:rFonts w:hint="eastAsia"/>
          <w:lang w:val="en-US"/>
        </w:rPr>
        <w:t>充分利用自然通风</w:t>
      </w:r>
      <w:r>
        <w:rPr>
          <w:rFonts w:hint="eastAsia"/>
          <w:lang w:val="en-US"/>
        </w:rPr>
        <w:t>获得良好的室内风环境，要求</w:t>
      </w:r>
      <w:r w:rsidRPr="00E26DE8">
        <w:rPr>
          <w:rFonts w:hint="eastAsia"/>
          <w:lang w:val="en-US"/>
        </w:rPr>
        <w:t>50%</w:t>
      </w:r>
      <w:r w:rsidRPr="00E26DE8">
        <w:rPr>
          <w:rFonts w:hint="eastAsia"/>
          <w:lang w:val="en-US"/>
        </w:rPr>
        <w:t>以上可开启外窗室内外表面的风压差大于</w:t>
      </w:r>
      <w:r w:rsidRPr="00E26DE8">
        <w:rPr>
          <w:rFonts w:hint="eastAsia"/>
          <w:lang w:val="en-US"/>
        </w:rPr>
        <w:t>0.5Pa</w:t>
      </w:r>
      <w:r w:rsidRPr="00E26DE8">
        <w:rPr>
          <w:rFonts w:hint="eastAsia"/>
          <w:lang w:val="en-US"/>
        </w:rPr>
        <w:t>。</w:t>
      </w:r>
    </w:p>
    <w:p w14:paraId="16D8ADE3" w14:textId="77777777" w:rsidR="001C76B6" w:rsidRDefault="001C76B6" w:rsidP="001C76B6">
      <w:pPr>
        <w:pStyle w:val="a0"/>
        <w:ind w:firstLine="420"/>
      </w:pPr>
      <w:r>
        <w:rPr>
          <w:rFonts w:hint="eastAsia"/>
          <w:lang w:val="en-US"/>
        </w:rPr>
        <w:t>可见在夏季，为了获得良好的室内风环境，首先要有良好的室外风环境。当外窗关闭时，</w:t>
      </w:r>
      <w:r w:rsidRPr="009D2F6D">
        <w:rPr>
          <w:rFonts w:hint="eastAsia"/>
          <w:b/>
          <w:lang w:val="en-US"/>
        </w:rPr>
        <w:t>外窗内表面风压</w:t>
      </w:r>
      <w:r>
        <w:rPr>
          <w:rFonts w:hint="eastAsia"/>
          <w:lang w:val="en-US"/>
        </w:rPr>
        <w:t>近似为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，</w:t>
      </w:r>
      <w:r w:rsidRPr="005D012A">
        <w:rPr>
          <w:rFonts w:hint="eastAsia"/>
          <w:lang w:val="en-US"/>
        </w:rPr>
        <w:t>因此标准要求外窗室</w:t>
      </w:r>
      <w:r w:rsidRPr="009D2F6D">
        <w:rPr>
          <w:rFonts w:hint="eastAsia"/>
          <w:b/>
          <w:lang w:val="en-US"/>
        </w:rPr>
        <w:t>内外表面的风压差</w:t>
      </w:r>
      <w:r w:rsidRPr="005D012A">
        <w:rPr>
          <w:rFonts w:hint="eastAsia"/>
          <w:lang w:val="en-US"/>
        </w:rPr>
        <w:t>大于</w:t>
      </w:r>
      <w:r w:rsidRPr="005D012A">
        <w:rPr>
          <w:rFonts w:hint="eastAsia"/>
          <w:lang w:val="en-US"/>
        </w:rPr>
        <w:t>0.5Pa</w:t>
      </w:r>
      <w:r w:rsidRPr="005D012A">
        <w:rPr>
          <w:rFonts w:hint="eastAsia"/>
          <w:lang w:val="en-US"/>
        </w:rPr>
        <w:t>，即为关窗状态下外窗</w:t>
      </w:r>
      <w:r w:rsidRPr="009D2F6D">
        <w:rPr>
          <w:rFonts w:hint="eastAsia"/>
          <w:b/>
          <w:lang w:val="en-US"/>
        </w:rPr>
        <w:t>外表面</w:t>
      </w:r>
      <w:r w:rsidRPr="005D012A">
        <w:rPr>
          <w:rFonts w:hint="eastAsia"/>
          <w:lang w:val="en-US"/>
        </w:rPr>
        <w:t>的</w:t>
      </w:r>
      <w:r w:rsidRPr="009D2F6D">
        <w:rPr>
          <w:rFonts w:hint="eastAsia"/>
          <w:b/>
          <w:lang w:val="en-US"/>
        </w:rPr>
        <w:t>风压绝对值</w:t>
      </w:r>
      <w:r w:rsidRPr="005D012A">
        <w:rPr>
          <w:rFonts w:hint="eastAsia"/>
          <w:lang w:val="en-US"/>
        </w:rPr>
        <w:t>需大于</w:t>
      </w:r>
      <w:r w:rsidRPr="005D012A">
        <w:rPr>
          <w:rFonts w:hint="eastAsia"/>
          <w:lang w:val="en-US"/>
        </w:rPr>
        <w:t>0.5Pa</w:t>
      </w:r>
      <w:r w:rsidRPr="005D012A">
        <w:rPr>
          <w:rFonts w:hint="eastAsia"/>
          <w:lang w:val="en-US"/>
        </w:rPr>
        <w:t>。</w:t>
      </w:r>
      <w:r>
        <w:rPr>
          <w:rFonts w:hint="eastAsia"/>
          <w:lang w:val="en-US"/>
        </w:rPr>
        <w:t>只有</w:t>
      </w:r>
      <w:r w:rsidRPr="009D2F6D">
        <w:rPr>
          <w:rFonts w:hint="eastAsia"/>
          <w:b/>
          <w:lang w:val="en-US"/>
        </w:rPr>
        <w:t>外窗外表面</w:t>
      </w:r>
      <w:r>
        <w:rPr>
          <w:rFonts w:hint="eastAsia"/>
          <w:lang w:val="en-US"/>
        </w:rPr>
        <w:t>的风压绝对值足够大时，才可以确保良好的</w:t>
      </w:r>
      <w:r w:rsidRPr="009D2F6D">
        <w:rPr>
          <w:rFonts w:hint="eastAsia"/>
          <w:b/>
          <w:lang w:val="en-US"/>
        </w:rPr>
        <w:t>开窗通风</w:t>
      </w:r>
      <w:r>
        <w:rPr>
          <w:rFonts w:hint="eastAsia"/>
          <w:lang w:val="en-US"/>
        </w:rPr>
        <w:t>效果，形成较好的室内风环境。</w:t>
      </w:r>
    </w:p>
    <w:p w14:paraId="11939870" w14:textId="77777777" w:rsidR="001C76B6" w:rsidRDefault="001C76B6" w:rsidP="001C76B6">
      <w:pPr>
        <w:pStyle w:val="a0"/>
        <w:ind w:firstLine="420"/>
      </w:pPr>
      <w:r>
        <w:rPr>
          <w:rFonts w:hint="eastAsia"/>
          <w:lang w:val="en-US"/>
        </w:rPr>
        <w:t>下图为夏季工况下，建筑迎风面和背风面对应外窗表面的风压分布图，结合图例数值可以清晰看到外窗表面风压小于</w:t>
      </w:r>
      <w:r>
        <w:rPr>
          <w:rFonts w:hint="eastAsia"/>
          <w:lang w:val="en-US"/>
        </w:rPr>
        <w:t>0.5Pa</w:t>
      </w:r>
      <w:r>
        <w:rPr>
          <w:rFonts w:hint="eastAsia"/>
          <w:lang w:val="en-US"/>
        </w:rPr>
        <w:t>的外窗区域。</w:t>
      </w:r>
    </w:p>
    <w:p w14:paraId="664BB24A" w14:textId="7C55D1F0" w:rsidR="001C76B6" w:rsidRDefault="001C76B6" w:rsidP="001C76B6">
      <w:pPr>
        <w:pStyle w:val="a0"/>
        <w:ind w:firstLineChars="0" w:firstLine="0"/>
        <w:jc w:val="center"/>
      </w:pPr>
      <w:bookmarkStart w:id="4" w:name="迎风面风压云图"/>
      <w:bookmarkEnd w:id="4"/>
      <w:r w:rsidRPr="00E01D32">
        <w:rPr>
          <w:noProof/>
        </w:rPr>
        <w:drawing>
          <wp:inline distT="0" distB="0" distL="0" distR="0" wp14:anchorId="3C90EE08" wp14:editId="7AED4AA7">
            <wp:extent cx="5274310" cy="33686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3A42B" w14:textId="77777777" w:rsidR="001C76B6" w:rsidRPr="00C72E58" w:rsidRDefault="001C76B6" w:rsidP="001C76B6">
      <w:pPr>
        <w:pStyle w:val="a0"/>
        <w:ind w:firstLineChars="0" w:firstLine="0"/>
        <w:jc w:val="center"/>
        <w:rPr>
          <w:rFonts w:ascii="黑体" w:eastAsia="黑体" w:hAnsi="黑体"/>
          <w:sz w:val="20"/>
          <w:szCs w:val="20"/>
        </w:rPr>
      </w:pPr>
      <w:r w:rsidRPr="00C72E58">
        <w:rPr>
          <w:rFonts w:ascii="黑体" w:eastAsia="黑体" w:hAnsi="黑体" w:hint="eastAsia"/>
          <w:sz w:val="20"/>
          <w:szCs w:val="20"/>
        </w:rPr>
        <w:t xml:space="preserve">图 </w:t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STYLEREF 2 \s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5.2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/>
          <w:sz w:val="20"/>
          <w:szCs w:val="20"/>
        </w:rPr>
        <w:noBreakHyphen/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SEQ 图 \* ARABIC \s 2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5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>
        <w:rPr>
          <w:rFonts w:ascii="黑体" w:eastAsia="黑体" w:hAnsi="黑体"/>
          <w:sz w:val="20"/>
          <w:szCs w:val="20"/>
        </w:rPr>
        <w:t xml:space="preserve"> </w:t>
      </w:r>
      <w:r w:rsidRPr="00C72E58">
        <w:rPr>
          <w:rFonts w:ascii="黑体" w:eastAsia="黑体" w:hAnsi="黑体" w:hint="eastAsia"/>
          <w:sz w:val="20"/>
          <w:szCs w:val="20"/>
        </w:rPr>
        <w:t>建筑迎风面外窗表面风压云图-</w:t>
      </w:r>
      <w:bookmarkStart w:id="5" w:name="季节10"/>
      <w:r w:rsidRPr="00C72E58">
        <w:rPr>
          <w:rFonts w:ascii="黑体" w:eastAsia="黑体" w:hAnsi="黑体" w:hint="eastAsia"/>
          <w:sz w:val="20"/>
          <w:szCs w:val="20"/>
        </w:rPr>
        <w:t>夏季</w:t>
      </w:r>
      <w:bookmarkEnd w:id="5"/>
    </w:p>
    <w:p w14:paraId="03BDAC96" w14:textId="5F227634" w:rsidR="001C76B6" w:rsidRPr="00C56D1B" w:rsidRDefault="001C76B6" w:rsidP="001C76B6">
      <w:pPr>
        <w:pStyle w:val="a8"/>
        <w:jc w:val="center"/>
      </w:pPr>
      <w:bookmarkStart w:id="6" w:name="背风面风压云图"/>
      <w:bookmarkEnd w:id="6"/>
      <w:r w:rsidRPr="00E01D32">
        <w:rPr>
          <w:noProof/>
        </w:rPr>
        <w:lastRenderedPageBreak/>
        <w:drawing>
          <wp:inline distT="0" distB="0" distL="0" distR="0" wp14:anchorId="1F088179" wp14:editId="746844C0">
            <wp:extent cx="5274310" cy="33864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2BB5B" w14:textId="77777777" w:rsidR="001C76B6" w:rsidRDefault="001C76B6" w:rsidP="001C76B6">
      <w:pPr>
        <w:pStyle w:val="a0"/>
        <w:ind w:firstLineChars="0" w:firstLine="0"/>
        <w:jc w:val="center"/>
      </w:pPr>
      <w:r w:rsidRPr="00C72E58">
        <w:rPr>
          <w:rFonts w:ascii="黑体" w:eastAsia="黑体" w:hAnsi="黑体" w:hint="eastAsia"/>
          <w:sz w:val="20"/>
          <w:szCs w:val="20"/>
        </w:rPr>
        <w:t xml:space="preserve">图 </w:t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STYLEREF 2 \s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5.2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/>
          <w:sz w:val="20"/>
          <w:szCs w:val="20"/>
        </w:rPr>
        <w:noBreakHyphen/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SEQ 图 \* ARABIC \s 2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6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>
        <w:rPr>
          <w:rFonts w:ascii="黑体" w:eastAsia="黑体" w:hAnsi="黑体"/>
          <w:sz w:val="20"/>
          <w:szCs w:val="20"/>
        </w:rPr>
        <w:t xml:space="preserve"> </w:t>
      </w:r>
      <w:r w:rsidRPr="00C72E58">
        <w:rPr>
          <w:rFonts w:ascii="黑体" w:eastAsia="黑体" w:hAnsi="黑体" w:hint="eastAsia"/>
          <w:sz w:val="20"/>
          <w:szCs w:val="20"/>
        </w:rPr>
        <w:t>建筑背风面外窗表面风压云图-</w:t>
      </w:r>
      <w:bookmarkStart w:id="7" w:name="季节11"/>
      <w:r w:rsidRPr="00C72E58">
        <w:rPr>
          <w:rFonts w:ascii="黑体" w:eastAsia="黑体" w:hAnsi="黑体" w:hint="eastAsia"/>
          <w:sz w:val="20"/>
          <w:szCs w:val="20"/>
        </w:rPr>
        <w:t>夏季</w:t>
      </w:r>
      <w:bookmarkEnd w:id="7"/>
      <w:r>
        <w:rPr>
          <w:rFonts w:hint="eastAsia"/>
        </w:rPr>
        <w:t xml:space="preserve"> </w:t>
      </w:r>
    </w:p>
    <w:p w14:paraId="7E2A4E41" w14:textId="77777777" w:rsidR="001C76B6" w:rsidRPr="00857E39" w:rsidRDefault="001C76B6" w:rsidP="001C76B6">
      <w:r>
        <w:rPr>
          <w:rFonts w:hint="eastAsia"/>
        </w:rPr>
        <w:t>下表为依据上图提取的外窗外表面平均风压数据，相当于外窗室内外表面风压差数据，并依据标准做出达标判断：</w:t>
      </w:r>
    </w:p>
    <w:p w14:paraId="38091D5F" w14:textId="77777777" w:rsidR="001C76B6" w:rsidRDefault="001C76B6" w:rsidP="001C76B6">
      <w:pPr>
        <w:pStyle w:val="a8"/>
        <w:jc w:val="center"/>
      </w:pPr>
      <w:r w:rsidRPr="00C50BDB">
        <w:rPr>
          <w:rFonts w:ascii="黑体" w:hAnsi="黑体" w:hint="eastAsia"/>
        </w:rPr>
        <w:t xml:space="preserve">表 </w:t>
      </w:r>
      <w:r w:rsidRPr="00C50BDB">
        <w:rPr>
          <w:rFonts w:ascii="黑体" w:hAnsi="黑体"/>
        </w:rPr>
        <w:fldChar w:fldCharType="begin"/>
      </w:r>
      <w:r w:rsidRPr="00C50BDB">
        <w:rPr>
          <w:rFonts w:ascii="黑体" w:hAnsi="黑体"/>
        </w:rPr>
        <w:instrText xml:space="preserve"> </w:instrText>
      </w:r>
      <w:r w:rsidRPr="00C50BDB">
        <w:rPr>
          <w:rFonts w:ascii="黑体" w:hAnsi="黑体" w:hint="eastAsia"/>
        </w:rPr>
        <w:instrText>STYLEREF 2 \s</w:instrText>
      </w:r>
      <w:r w:rsidRPr="00C50BDB">
        <w:rPr>
          <w:rFonts w:ascii="黑体" w:hAnsi="黑体"/>
        </w:rPr>
        <w:instrText xml:space="preserve"> </w:instrText>
      </w:r>
      <w:r w:rsidRPr="00C50BDB">
        <w:rPr>
          <w:rFonts w:ascii="黑体" w:hAnsi="黑体"/>
        </w:rPr>
        <w:fldChar w:fldCharType="separate"/>
      </w:r>
      <w:r>
        <w:rPr>
          <w:rFonts w:ascii="黑体" w:hAnsi="黑体"/>
          <w:noProof/>
        </w:rPr>
        <w:t>5.2</w:t>
      </w:r>
      <w:r w:rsidRPr="00C50BDB">
        <w:rPr>
          <w:rFonts w:ascii="黑体" w:hAnsi="黑体"/>
        </w:rPr>
        <w:fldChar w:fldCharType="end"/>
      </w:r>
      <w:r w:rsidRPr="00C50BDB">
        <w:rPr>
          <w:rFonts w:ascii="黑体" w:hAnsi="黑体"/>
        </w:rPr>
        <w:noBreakHyphen/>
      </w:r>
      <w:r w:rsidRPr="00C50BDB">
        <w:rPr>
          <w:rFonts w:ascii="黑体" w:hAnsi="黑体"/>
        </w:rPr>
        <w:fldChar w:fldCharType="begin"/>
      </w:r>
      <w:r w:rsidRPr="00C50BDB">
        <w:rPr>
          <w:rFonts w:ascii="黑体" w:hAnsi="黑体"/>
        </w:rPr>
        <w:instrText xml:space="preserve"> </w:instrText>
      </w:r>
      <w:r w:rsidRPr="00C50BDB">
        <w:rPr>
          <w:rFonts w:ascii="黑体" w:hAnsi="黑体" w:hint="eastAsia"/>
        </w:rPr>
        <w:instrText>SEQ 表 \* ARABIC \s 2</w:instrText>
      </w:r>
      <w:r w:rsidRPr="00C50BDB">
        <w:rPr>
          <w:rFonts w:ascii="黑体" w:hAnsi="黑体"/>
        </w:rPr>
        <w:instrText xml:space="preserve"> </w:instrText>
      </w:r>
      <w:r w:rsidRPr="00C50BDB">
        <w:rPr>
          <w:rFonts w:ascii="黑体" w:hAnsi="黑体"/>
        </w:rPr>
        <w:fldChar w:fldCharType="separate"/>
      </w:r>
      <w:r>
        <w:rPr>
          <w:rFonts w:ascii="黑体" w:hAnsi="黑体"/>
          <w:noProof/>
        </w:rPr>
        <w:t>2</w:t>
      </w:r>
      <w:r w:rsidRPr="00C50BDB">
        <w:rPr>
          <w:rFonts w:ascii="黑体" w:hAnsi="黑体"/>
        </w:rPr>
        <w:fldChar w:fldCharType="end"/>
      </w:r>
      <w:r>
        <w:rPr>
          <w:rFonts w:ascii="黑体" w:hAnsi="黑体"/>
        </w:rPr>
        <w:t xml:space="preserve"> </w:t>
      </w:r>
      <w:r>
        <w:rPr>
          <w:rFonts w:hint="eastAsia"/>
        </w:rPr>
        <w:t>建筑外窗室内外风压差达标判定表</w:t>
      </w:r>
    </w:p>
    <w:tbl>
      <w:tblPr>
        <w:tblW w:w="9303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984"/>
        <w:gridCol w:w="1116"/>
        <w:gridCol w:w="708"/>
      </w:tblGrid>
      <w:tr w:rsidR="001C76B6" w14:paraId="15D3DFB6" w14:textId="77777777" w:rsidTr="009400A7">
        <w:trPr>
          <w:tblHeader/>
        </w:trPr>
        <w:tc>
          <w:tcPr>
            <w:tcW w:w="4361" w:type="dxa"/>
            <w:shd w:val="clear" w:color="auto" w:fill="E6E6E6"/>
            <w:vAlign w:val="center"/>
          </w:tcPr>
          <w:p w14:paraId="50B88A38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建筑编号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29B75D6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可开启外窗总数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3104775F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室内外风压差大于</w:t>
            </w:r>
            <w:r w:rsidRPr="00124784">
              <w:rPr>
                <w:rFonts w:hint="eastAsia"/>
                <w:lang w:val="en-US"/>
              </w:rPr>
              <w:t>0.5Pa</w:t>
            </w:r>
            <w:r w:rsidRPr="00124784">
              <w:rPr>
                <w:rFonts w:hint="eastAsia"/>
                <w:lang w:val="en-US"/>
              </w:rPr>
              <w:t>的外窗总数</w:t>
            </w:r>
          </w:p>
        </w:tc>
        <w:tc>
          <w:tcPr>
            <w:tcW w:w="1116" w:type="dxa"/>
            <w:shd w:val="clear" w:color="auto" w:fill="E6E6E6"/>
            <w:vAlign w:val="center"/>
          </w:tcPr>
          <w:p w14:paraId="13644F2E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达标比例（</w:t>
            </w:r>
            <w:r w:rsidRPr="00124784">
              <w:rPr>
                <w:rFonts w:hint="eastAsia"/>
                <w:lang w:val="en-US"/>
              </w:rPr>
              <w:t>%</w:t>
            </w:r>
            <w:r w:rsidRPr="00124784">
              <w:rPr>
                <w:rFonts w:hint="eastAsia"/>
                <w:lang w:val="en-US"/>
              </w:rPr>
              <w:t>）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A3E5F1F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是否达标</w:t>
            </w:r>
          </w:p>
        </w:tc>
      </w:tr>
      <w:tr w:rsidR="001C76B6" w14:paraId="37283609" w14:textId="77777777" w:rsidTr="009400A7">
        <w:tc>
          <w:tcPr>
            <w:tcW w:w="4361" w:type="dxa"/>
            <w:shd w:val="clear" w:color="auto" w:fill="auto"/>
            <w:vAlign w:val="center"/>
          </w:tcPr>
          <w:p w14:paraId="7C3A0C79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DT</w:t>
            </w:r>
            <w:r>
              <w:rPr>
                <w:lang w:val="en-US"/>
              </w:rPr>
              <w:t>单体</w:t>
            </w:r>
            <w:r>
              <w:rPr>
                <w:lang w:val="en-US"/>
              </w:rPr>
              <w:t>(</w:t>
            </w:r>
            <w:r>
              <w:rPr>
                <w:lang w:val="en-US"/>
              </w:rPr>
              <w:t>究</w:t>
            </w:r>
            <w:proofErr w:type="gramStart"/>
            <w:r>
              <w:rPr>
                <w:lang w:val="en-US"/>
              </w:rPr>
              <w:t>极</w:t>
            </w:r>
            <w:proofErr w:type="gramEnd"/>
            <w:r>
              <w:rPr>
                <w:lang w:val="en-US"/>
              </w:rPr>
              <w:t>版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D8979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8FC92F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26154D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78.16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0BDCF3" w14:textId="77777777" w:rsidR="001C76B6" w:rsidRPr="00124784" w:rsidRDefault="001C76B6" w:rsidP="00940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</w:tbl>
    <w:p w14:paraId="1CADD65B" w14:textId="77777777" w:rsidR="001C76B6" w:rsidRDefault="001C76B6" w:rsidP="001C76B6">
      <w:r>
        <w:rPr>
          <w:rFonts w:hint="eastAsia"/>
          <w:lang w:val="en-US"/>
        </w:rPr>
        <w:t>说明：达标比例＝（室内外风压差大于</w:t>
      </w:r>
      <w:r>
        <w:rPr>
          <w:rFonts w:hint="eastAsia"/>
          <w:lang w:val="en-US"/>
        </w:rPr>
        <w:t>0.5Pa</w:t>
      </w:r>
      <w:r>
        <w:rPr>
          <w:rFonts w:hint="eastAsia"/>
          <w:lang w:val="en-US"/>
        </w:rPr>
        <w:t>的总数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可开启外窗总数）</w:t>
      </w:r>
      <w:r>
        <w:rPr>
          <w:rFonts w:hint="eastAsia"/>
          <w:lang w:val="en-US"/>
        </w:rPr>
        <w:t>*100</w:t>
      </w:r>
      <w:r>
        <w:rPr>
          <w:rFonts w:hint="eastAsia"/>
          <w:lang w:val="en-US"/>
        </w:rPr>
        <w:t>％</w:t>
      </w:r>
    </w:p>
    <w:p w14:paraId="540527CA" w14:textId="77777777" w:rsidR="001C76B6" w:rsidRDefault="001C76B6" w:rsidP="001C76B6">
      <w:pPr>
        <w:rPr>
          <w:lang w:val="en-US"/>
        </w:rPr>
      </w:pPr>
      <w:bookmarkStart w:id="8" w:name="建筑外窗室内外风压差达标判定"/>
      <w:bookmarkEnd w:id="8"/>
    </w:p>
    <w:p w14:paraId="64D45C34" w14:textId="77777777" w:rsidR="001C76B6" w:rsidRPr="008F3863" w:rsidRDefault="001C76B6" w:rsidP="001C76B6">
      <w:r>
        <w:rPr>
          <w:rFonts w:hint="eastAsia"/>
        </w:rPr>
        <w:t>对</w:t>
      </w:r>
      <w:r>
        <w:t>于无外</w:t>
      </w:r>
      <w:r>
        <w:rPr>
          <w:rFonts w:hint="eastAsia"/>
        </w:rPr>
        <w:t>窗</w:t>
      </w:r>
      <w:r>
        <w:t>数据的建筑，</w:t>
      </w:r>
      <w:r>
        <w:rPr>
          <w:rFonts w:hint="eastAsia"/>
        </w:rPr>
        <w:t>下表依据建筑</w:t>
      </w:r>
      <w:r>
        <w:t>外表面</w:t>
      </w:r>
      <w:r>
        <w:rPr>
          <w:rFonts w:hint="eastAsia"/>
        </w:rPr>
        <w:t>平均风压数据，相当于建筑室内外表面风压差数据，并依据标准做出达标判断：</w:t>
      </w:r>
    </w:p>
    <w:p w14:paraId="41E21F57" w14:textId="77777777" w:rsidR="001C76B6" w:rsidRDefault="001C76B6" w:rsidP="001C76B6">
      <w:pPr>
        <w:pStyle w:val="a8"/>
        <w:jc w:val="center"/>
      </w:pPr>
      <w:r>
        <w:rPr>
          <w:rFonts w:hint="eastAsia"/>
        </w:rPr>
        <w:t>表</w:t>
      </w:r>
      <w:r>
        <w:t xml:space="preserve"> </w:t>
      </w:r>
      <w:r>
        <w:fldChar w:fldCharType="begin"/>
      </w:r>
      <w:r>
        <w:instrText xml:space="preserve"> STYLEREF 2 \s </w:instrText>
      </w:r>
      <w:r>
        <w:fldChar w:fldCharType="separate"/>
      </w:r>
      <w:r>
        <w:rPr>
          <w:noProof/>
        </w:rPr>
        <w:t>5.2</w:t>
      </w:r>
      <w:r>
        <w:fldChar w:fldCharType="end"/>
      </w:r>
      <w:r>
        <w:noBreakHyphen/>
      </w:r>
      <w:r>
        <w:fldChar w:fldCharType="begin"/>
      </w:r>
      <w:r>
        <w:instrText xml:space="preserve"> SEQ </w:instrText>
      </w:r>
      <w:r>
        <w:rPr>
          <w:rFonts w:hint="eastAsia"/>
        </w:rPr>
        <w:instrText>表</w:instrText>
      </w:r>
      <w:r>
        <w:instrText xml:space="preserve"> \* ARABIC \s 2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 </w:t>
      </w:r>
      <w:r>
        <w:rPr>
          <w:rFonts w:hint="eastAsia"/>
        </w:rPr>
        <w:t>建筑室内外风压差达标判定表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70"/>
        <w:gridCol w:w="1340"/>
        <w:gridCol w:w="2306"/>
        <w:gridCol w:w="1086"/>
        <w:gridCol w:w="774"/>
      </w:tblGrid>
      <w:tr w:rsidR="001C76B6" w14:paraId="3E73F8A0" w14:textId="77777777" w:rsidTr="009400A7">
        <w:tc>
          <w:tcPr>
            <w:tcW w:w="3104" w:type="dxa"/>
            <w:shd w:val="clear" w:color="auto" w:fill="E6E6E6"/>
            <w:vAlign w:val="center"/>
            <w:hideMark/>
          </w:tcPr>
          <w:p w14:paraId="1AD92E64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rFonts w:hint="eastAsia"/>
                <w:lang w:val="en-US"/>
              </w:rPr>
              <w:t>建筑编号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14:paraId="18D5676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rFonts w:hint="eastAsia"/>
                <w:lang w:val="en-US"/>
              </w:rPr>
              <w:t>建筑表面积（㎡）</w:t>
            </w:r>
          </w:p>
        </w:tc>
        <w:tc>
          <w:tcPr>
            <w:tcW w:w="2552" w:type="dxa"/>
            <w:shd w:val="clear" w:color="auto" w:fill="E6E6E6"/>
            <w:vAlign w:val="center"/>
            <w:hideMark/>
          </w:tcPr>
          <w:p w14:paraId="4DEBBECB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rFonts w:hint="eastAsia"/>
                <w:lang w:val="en-US"/>
              </w:rPr>
              <w:t>室内外风压差大于</w:t>
            </w:r>
            <w:r w:rsidRPr="003F44C3">
              <w:rPr>
                <w:lang w:val="en-US"/>
              </w:rPr>
              <w:t>0.5Pa</w:t>
            </w:r>
            <w:r w:rsidRPr="003F44C3">
              <w:rPr>
                <w:rFonts w:hint="eastAsia"/>
                <w:lang w:val="en-US"/>
              </w:rPr>
              <w:t>的建筑表面积（㎡）</w:t>
            </w:r>
          </w:p>
        </w:tc>
        <w:tc>
          <w:tcPr>
            <w:tcW w:w="1134" w:type="dxa"/>
            <w:shd w:val="clear" w:color="auto" w:fill="E6E6E6"/>
            <w:vAlign w:val="center"/>
            <w:hideMark/>
          </w:tcPr>
          <w:p w14:paraId="6803415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rFonts w:hint="eastAsia"/>
                <w:lang w:val="en-US"/>
              </w:rPr>
              <w:t>达标比例（</w:t>
            </w:r>
            <w:r w:rsidRPr="003F44C3">
              <w:rPr>
                <w:lang w:val="en-US"/>
              </w:rPr>
              <w:t>%</w:t>
            </w:r>
            <w:r w:rsidRPr="003F44C3">
              <w:rPr>
                <w:rFonts w:hint="eastAsia"/>
                <w:lang w:val="en-US"/>
              </w:rPr>
              <w:t>）</w:t>
            </w:r>
          </w:p>
        </w:tc>
        <w:tc>
          <w:tcPr>
            <w:tcW w:w="835" w:type="dxa"/>
            <w:shd w:val="clear" w:color="auto" w:fill="E6E6E6"/>
            <w:vAlign w:val="center"/>
            <w:hideMark/>
          </w:tcPr>
          <w:p w14:paraId="5FEDBCE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rFonts w:hint="eastAsia"/>
                <w:lang w:val="en-US"/>
              </w:rPr>
              <w:t>是否达标</w:t>
            </w:r>
          </w:p>
        </w:tc>
      </w:tr>
      <w:tr w:rsidR="001C76B6" w14:paraId="45C3E00B" w14:textId="77777777" w:rsidTr="009400A7">
        <w:tc>
          <w:tcPr>
            <w:tcW w:w="3104" w:type="dxa"/>
            <w:shd w:val="clear" w:color="auto" w:fill="auto"/>
            <w:vAlign w:val="center"/>
          </w:tcPr>
          <w:p w14:paraId="0215F9C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未命名</w:t>
            </w:r>
            <w:r w:rsidRPr="003F44C3">
              <w:rPr>
                <w:lang w:val="en-US"/>
              </w:rPr>
              <w:t>(16DA)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B1C9C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7314.34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2548B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7214.17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28BBC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98.63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F97988C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是</w:t>
            </w:r>
          </w:p>
        </w:tc>
      </w:tr>
      <w:tr w:rsidR="001C76B6" w14:paraId="76F959AB" w14:textId="77777777" w:rsidTr="009400A7">
        <w:tc>
          <w:tcPr>
            <w:tcW w:w="3104" w:type="dxa"/>
            <w:shd w:val="clear" w:color="auto" w:fill="auto"/>
            <w:vAlign w:val="center"/>
          </w:tcPr>
          <w:p w14:paraId="0676CDC8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未命名</w:t>
            </w:r>
            <w:r w:rsidRPr="003F44C3">
              <w:rPr>
                <w:lang w:val="en-US"/>
              </w:rPr>
              <w:t>(16DD)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12596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7296.33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CB9A40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7186.83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949EA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98.50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C5667A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是</w:t>
            </w:r>
          </w:p>
        </w:tc>
      </w:tr>
      <w:tr w:rsidR="001C76B6" w14:paraId="1C85FC19" w14:textId="77777777" w:rsidTr="009400A7">
        <w:tc>
          <w:tcPr>
            <w:tcW w:w="3104" w:type="dxa"/>
            <w:shd w:val="clear" w:color="auto" w:fill="auto"/>
            <w:vAlign w:val="center"/>
          </w:tcPr>
          <w:p w14:paraId="56F1DEFE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未命名</w:t>
            </w:r>
            <w:r w:rsidRPr="003F44C3">
              <w:rPr>
                <w:lang w:val="en-US"/>
              </w:rPr>
              <w:t>(16E0)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4A971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7320.14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E50E80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7242.38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9EBB0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98.94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D8398B3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是</w:t>
            </w:r>
          </w:p>
        </w:tc>
      </w:tr>
      <w:tr w:rsidR="001C76B6" w14:paraId="195171CF" w14:textId="77777777" w:rsidTr="009400A7">
        <w:tc>
          <w:tcPr>
            <w:tcW w:w="3104" w:type="dxa"/>
            <w:shd w:val="clear" w:color="auto" w:fill="auto"/>
            <w:vAlign w:val="center"/>
          </w:tcPr>
          <w:p w14:paraId="5B25023A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未命名</w:t>
            </w:r>
            <w:r w:rsidRPr="003F44C3">
              <w:rPr>
                <w:lang w:val="en-US"/>
              </w:rPr>
              <w:t>(1701)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35F49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5409.03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FB42CC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5391.03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4655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99.67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21CE387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是</w:t>
            </w:r>
          </w:p>
        </w:tc>
      </w:tr>
      <w:tr w:rsidR="001C76B6" w14:paraId="5AA8FB6F" w14:textId="77777777" w:rsidTr="009400A7">
        <w:tc>
          <w:tcPr>
            <w:tcW w:w="3104" w:type="dxa"/>
            <w:shd w:val="clear" w:color="auto" w:fill="auto"/>
            <w:vAlign w:val="center"/>
          </w:tcPr>
          <w:p w14:paraId="6487DBC7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未命名</w:t>
            </w:r>
            <w:r w:rsidRPr="003F44C3">
              <w:rPr>
                <w:lang w:val="en-US"/>
              </w:rPr>
              <w:t>(1705)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7495E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4182.56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968073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4133.09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ABCC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98.82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B2D79DE" w14:textId="77777777" w:rsidR="001C76B6" w:rsidRPr="003F44C3" w:rsidRDefault="001C76B6" w:rsidP="009400A7">
            <w:pPr>
              <w:spacing w:line="360" w:lineRule="exact"/>
              <w:jc w:val="center"/>
              <w:rPr>
                <w:lang w:val="en-US"/>
              </w:rPr>
            </w:pPr>
            <w:r w:rsidRPr="003F44C3">
              <w:rPr>
                <w:lang w:val="en-US"/>
              </w:rPr>
              <w:t>是</w:t>
            </w:r>
          </w:p>
        </w:tc>
      </w:tr>
    </w:tbl>
    <w:p w14:paraId="1FC2BD99" w14:textId="77777777" w:rsidR="001C76B6" w:rsidRDefault="001C76B6" w:rsidP="001C76B6">
      <w:pPr>
        <w:rPr>
          <w:lang w:val="en-US"/>
        </w:rPr>
      </w:pPr>
      <w:r>
        <w:rPr>
          <w:rFonts w:hint="eastAsia"/>
          <w:lang w:val="en-US"/>
        </w:rPr>
        <w:t>说明：达标比例＝（室内外风压差大于</w:t>
      </w:r>
      <w:r>
        <w:rPr>
          <w:lang w:val="en-US"/>
        </w:rPr>
        <w:t>0.5Pa</w:t>
      </w:r>
      <w:r>
        <w:rPr>
          <w:rFonts w:hint="eastAsia"/>
          <w:lang w:val="en-US"/>
        </w:rPr>
        <w:t>的建筑表面积</w:t>
      </w:r>
      <w:r>
        <w:rPr>
          <w:lang w:val="en-US"/>
        </w:rPr>
        <w:t>/</w:t>
      </w:r>
      <w:r>
        <w:rPr>
          <w:rFonts w:hint="eastAsia"/>
          <w:lang w:val="en-US"/>
        </w:rPr>
        <w:t>建筑表面积）</w:t>
      </w:r>
      <w:r>
        <w:rPr>
          <w:lang w:val="en-US"/>
        </w:rPr>
        <w:t>*100</w:t>
      </w:r>
      <w:r>
        <w:rPr>
          <w:rFonts w:hint="eastAsia"/>
          <w:lang w:val="en-US"/>
        </w:rPr>
        <w:t>％</w:t>
      </w:r>
    </w:p>
    <w:p w14:paraId="0CF05C1E" w14:textId="77777777" w:rsidR="001C76B6" w:rsidRDefault="001C76B6" w:rsidP="001C76B6">
      <w:bookmarkStart w:id="9" w:name="建筑室内外风压差达标判定"/>
      <w:r>
        <w:rPr>
          <w:rFonts w:hint="eastAsia"/>
        </w:rPr>
        <w:t xml:space="preserve"> </w:t>
      </w:r>
      <w:bookmarkEnd w:id="9"/>
    </w:p>
    <w:p w14:paraId="72253A1B" w14:textId="7C0AB3F3" w:rsidR="0020726D" w:rsidRDefault="001C76B6" w:rsidP="001C76B6">
      <w:bookmarkStart w:id="10" w:name="建筑室内外风压差达标判定结论"/>
      <w:r>
        <w:rPr>
          <w:rFonts w:hint="eastAsia"/>
          <w:lang w:val="en-US"/>
        </w:rPr>
        <w:lastRenderedPageBreak/>
        <w:t>结论：本项目中所有建筑均满足“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以上可开启外窗室内外表面的风压差大于</w:t>
      </w:r>
      <w:r>
        <w:rPr>
          <w:rFonts w:hint="eastAsia"/>
          <w:lang w:val="en-US"/>
        </w:rPr>
        <w:t>0.5Pa</w:t>
      </w:r>
      <w:r>
        <w:rPr>
          <w:rFonts w:hint="eastAsia"/>
          <w:lang w:val="en-US"/>
        </w:rPr>
        <w:t>”的要求。</w:t>
      </w:r>
      <w:bookmarkEnd w:id="10"/>
    </w:p>
    <w:sectPr w:rsidR="0020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FC90" w14:textId="77777777" w:rsidR="001C76B6" w:rsidRDefault="001C76B6" w:rsidP="001C76B6">
      <w:pPr>
        <w:spacing w:line="240" w:lineRule="auto"/>
      </w:pPr>
      <w:r>
        <w:separator/>
      </w:r>
    </w:p>
  </w:endnote>
  <w:endnote w:type="continuationSeparator" w:id="0">
    <w:p w14:paraId="0B96D598" w14:textId="77777777" w:rsidR="001C76B6" w:rsidRDefault="001C76B6" w:rsidP="001C7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1B7E" w14:textId="77777777" w:rsidR="001C76B6" w:rsidRDefault="001C76B6" w:rsidP="001C76B6">
      <w:pPr>
        <w:spacing w:line="240" w:lineRule="auto"/>
      </w:pPr>
      <w:r>
        <w:separator/>
      </w:r>
    </w:p>
  </w:footnote>
  <w:footnote w:type="continuationSeparator" w:id="0">
    <w:p w14:paraId="602EBF86" w14:textId="77777777" w:rsidR="001C76B6" w:rsidRDefault="001C76B6" w:rsidP="001C7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1"/>
    <w:rsid w:val="001C76B6"/>
    <w:rsid w:val="0020726D"/>
    <w:rsid w:val="0032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A07A7D-FC8A-4F62-9D5E-16F42A74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B6"/>
    <w:pPr>
      <w:spacing w:line="360" w:lineRule="atLeast"/>
    </w:pPr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1C76B6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1C76B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1C76B6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1C76B6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1C76B6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1C76B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1C76B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C76B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C76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C7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76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76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76B6"/>
    <w:rPr>
      <w:sz w:val="18"/>
      <w:szCs w:val="18"/>
    </w:rPr>
  </w:style>
  <w:style w:type="character" w:customStyle="1" w:styleId="10">
    <w:name w:val="标题 1 字符"/>
    <w:basedOn w:val="a1"/>
    <w:link w:val="1"/>
    <w:rsid w:val="001C76B6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1C76B6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1C76B6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1C76B6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1C76B6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1C76B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1C76B6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1C76B6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1C76B6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1C76B6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8">
    <w:name w:val="caption"/>
    <w:basedOn w:val="a"/>
    <w:next w:val="a"/>
    <w:unhideWhenUsed/>
    <w:qFormat/>
    <w:rsid w:val="001C76B6"/>
    <w:rPr>
      <w:rFonts w:ascii="Cambria" w:eastAsia="黑体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雨薇</dc:creator>
  <cp:keywords/>
  <dc:description/>
  <cp:lastModifiedBy>陈 雨薇</cp:lastModifiedBy>
  <cp:revision>2</cp:revision>
  <dcterms:created xsi:type="dcterms:W3CDTF">2022-03-10T07:34:00Z</dcterms:created>
  <dcterms:modified xsi:type="dcterms:W3CDTF">2022-03-10T07:35:00Z</dcterms:modified>
</cp:coreProperties>
</file>