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湖北省宜昌市绿色建筑设计——生态村落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无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参与单位名称：无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咨询单位名称：无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2022年3月10日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经自评估，本项目控制项全部达标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53.0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41.0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32.0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75.0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48.0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总得分：Q=（Q0+Q1+Q2+Q3+Q4+Q5+QA）/10=65.4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4343825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34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7772114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772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