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line="240" w:lineRule="auto"/>
        <w:rPr>
          <w:rFonts w:ascii="宋体" w:hAnsi="宋体"/>
          <w:b/>
          <w:bCs/>
          <w:sz w:val="30"/>
          <w:szCs w:val="24"/>
          <w:lang w:val="en-US"/>
        </w:rPr>
      </w:pPr>
    </w:p>
    <w:p>
      <w:pPr>
        <w:widowControl w:val="0"/>
        <w:spacing w:after="312" w:line="240" w:lineRule="auto"/>
        <w:rPr>
          <w:rFonts w:ascii="宋体" w:hAnsi="宋体"/>
          <w:b/>
          <w:bCs/>
          <w:sz w:val="30"/>
          <w:szCs w:val="24"/>
          <w:lang w:val="en-US"/>
        </w:rPr>
      </w:pPr>
    </w:p>
    <w:p>
      <w:pPr>
        <w:spacing w:before="312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建筑可开启面积比例计算书</w:t>
      </w: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Style w:val="3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E6E6E6" w:fill="E6E6E6"/>
            <w:noWrap w:val="0"/>
          </w:tcPr>
          <w:p>
            <w:pPr>
              <w:pStyle w:val="2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  <w:noWrap w:val="0"/>
          </w:tcPr>
          <w:p>
            <w:pPr>
              <w:pStyle w:val="20"/>
              <w:tabs>
                <w:tab w:val="clear" w:pos="4153"/>
                <w:tab w:val="clear" w:pos="8306"/>
              </w:tabs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  <w:sz w:val="21"/>
                <w:szCs w:val="21"/>
              </w:rPr>
              <w:t>梦土上---生态青年社区公寓设计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E6E6E6" w:fill="E6E6E6"/>
            <w:noWrap w:val="0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工程地点</w:t>
            </w:r>
          </w:p>
        </w:tc>
        <w:tc>
          <w:tcPr>
            <w:tcW w:w="3780" w:type="dxa"/>
            <w:noWrap w:val="0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地点"/>
            <w:r>
              <w:rPr>
                <w:rFonts w:hint="eastAsia" w:ascii="宋体" w:hAnsi="宋体"/>
                <w:sz w:val="21"/>
                <w:szCs w:val="21"/>
              </w:rPr>
              <w:t>荆州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E6E6E6" w:fill="E6E6E6"/>
            <w:noWrap w:val="0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设计编号</w:t>
            </w:r>
          </w:p>
        </w:tc>
        <w:tc>
          <w:tcPr>
            <w:tcW w:w="3780" w:type="dxa"/>
            <w:noWrap w:val="0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t>BK41029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E6E6E6" w:fill="E6E6E6"/>
            <w:noWrap w:val="0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建设单位</w:t>
            </w:r>
          </w:p>
        </w:tc>
        <w:tc>
          <w:tcPr>
            <w:tcW w:w="3780" w:type="dxa"/>
            <w:noWrap w:val="0"/>
          </w:tcPr>
          <w:p>
            <w:pPr>
              <w:rPr>
                <w:rFonts w:ascii="宋体" w:hAnsi="宋体"/>
              </w:rPr>
            </w:pPr>
            <w:bookmarkStart w:id="1" w:name="建设单位"/>
            <w:r>
              <w:t>绿建小分队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E6E6E6" w:fill="E6E6E6"/>
            <w:noWrap w:val="0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设计单位</w:t>
            </w:r>
          </w:p>
        </w:tc>
        <w:tc>
          <w:tcPr>
            <w:tcW w:w="3780" w:type="dxa"/>
            <w:noWrap w:val="0"/>
          </w:tcPr>
          <w:p>
            <w:pPr>
              <w:rPr>
                <w:rFonts w:ascii="宋体" w:hAnsi="宋体"/>
              </w:rPr>
            </w:pPr>
            <w:r>
              <w:t>绿建小分队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E6E6E6" w:fill="E6E6E6"/>
            <w:noWrap w:val="0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 计 人</w:t>
            </w:r>
          </w:p>
        </w:tc>
        <w:tc>
          <w:tcPr>
            <w:tcW w:w="3780" w:type="dxa"/>
            <w:noWrap w:val="0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E6E6E6" w:fill="E6E6E6"/>
            <w:noWrap w:val="0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 对 人</w:t>
            </w:r>
          </w:p>
        </w:tc>
        <w:tc>
          <w:tcPr>
            <w:tcW w:w="3780" w:type="dxa"/>
            <w:noWrap w:val="0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E6E6E6" w:fill="E6E6E6"/>
            <w:noWrap w:val="0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核 人</w:t>
            </w:r>
          </w:p>
        </w:tc>
        <w:tc>
          <w:tcPr>
            <w:tcW w:w="3780" w:type="dxa"/>
            <w:noWrap w:val="0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E6E6E6" w:fill="E6E6E6"/>
            <w:noWrap w:val="0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设计日期</w:t>
            </w:r>
          </w:p>
        </w:tc>
        <w:tc>
          <w:tcPr>
            <w:tcW w:w="3780" w:type="dxa"/>
            <w:noWrap w:val="0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2" w:name="设计日期"/>
            <w:bookmarkEnd w:id="2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3" w:name="二维码"/>
      <w:bookmarkEnd w:id="3"/>
      <w:r>
        <w:drawing>
          <wp:inline distT="0" distB="0" distL="0" distR="0">
            <wp:extent cx="1514475" cy="1514475"/>
            <wp:effectExtent l="0" t="0" r="0" b="0"/>
            <wp:docPr id="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30"/>
        <w:tblpPr w:leftFromText="180" w:rightFromText="180" w:vertAnchor="text" w:tblpXSpec="center" w:tblpY="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E6E6E6" w:fill="E6E6E6"/>
            <w:noWrap w:val="0"/>
            <w:vAlign w:val="center"/>
          </w:tcPr>
          <w:p>
            <w:pPr>
              <w:pStyle w:val="2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pStyle w:val="2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绿建斯维尔</w:t>
            </w:r>
            <w:bookmarkStart w:id="4" w:name="采用软件"/>
            <w:r>
              <w:rPr>
                <w:rFonts w:hint="eastAsia" w:ascii="宋体" w:hAnsi="宋体"/>
              </w:rPr>
              <w:t>建筑通风Vent2020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E6E6E6" w:fill="E6E6E6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bookmarkStart w:id="5" w:name="软件版本"/>
            <w:r>
              <w:rPr>
                <w:rFonts w:ascii="宋体" w:hAnsi="宋体"/>
                <w:sz w:val="18"/>
                <w:szCs w:val="18"/>
              </w:rPr>
              <w:t>20200606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E6E6E6" w:fill="E6E6E6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北京绿建软件</w:t>
            </w:r>
            <w:r>
              <w:rPr>
                <w:rFonts w:hint="eastAsia" w:ascii="宋体" w:hAnsi="宋体"/>
                <w:sz w:val="18"/>
                <w:szCs w:val="18"/>
              </w:rPr>
              <w:t>股份</w:t>
            </w:r>
            <w:r>
              <w:rPr>
                <w:rFonts w:ascii="宋体" w:hAnsi="宋体"/>
                <w:sz w:val="18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E6E6E6" w:fill="E6E6E6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bookmarkStart w:id="6" w:name="加密锁号"/>
            <w:r>
              <w:t>T19971523316</w:t>
            </w:r>
            <w:bookmarkEnd w:id="6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/>
      </w:r>
      <w:r>
        <w:t xml:space="preserve"> </w:t>
      </w:r>
    </w:p>
    <w:p>
      <w:pPr>
        <w:pStyle w:val="22"/>
        <w:sectPr>
          <w:headerReference r:id="rId5" w:type="default"/>
          <w:footerReference r:id="rId6" w:type="default"/>
          <w:pgSz w:w="11906" w:h="16838"/>
          <w:pgMar w:top="1440" w:right="1418" w:bottom="1440" w:left="1418" w:header="851" w:footer="992" w:gutter="0"/>
          <w:cols w:space="425" w:num="1"/>
          <w:titlePg/>
          <w:docGrid w:linePitch="360" w:charSpace="0"/>
        </w:sectPr>
      </w:pPr>
    </w:p>
    <w:p>
      <w:pPr>
        <w:pStyle w:val="2"/>
      </w:pPr>
      <w:bookmarkStart w:id="7" w:name="_Toc420663548"/>
      <w:bookmarkStart w:id="8" w:name="_Toc420309360"/>
      <w:r>
        <w:rPr>
          <w:rFonts w:hint="eastAsia"/>
        </w:rPr>
        <w:t>建筑概况</w:t>
      </w:r>
      <w:bookmarkEnd w:id="7"/>
      <w:bookmarkEnd w:id="8"/>
    </w:p>
    <w:tbl>
      <w:tblPr>
        <w:tblStyle w:val="30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E6E6E6" w:fill="E6E6E6"/>
            <w:noWrap w:val="0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noWrap w:val="0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  <w:sz w:val="21"/>
                <w:szCs w:val="21"/>
              </w:rPr>
              <w:t>梦土上---生态青年社区公寓设计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E6E6E6" w:fill="E6E6E6"/>
            <w:noWrap w:val="0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noWrap w:val="0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bookmarkStart w:id="9" w:name="工程地点2"/>
            <w:r>
              <w:rPr>
                <w:rFonts w:hint="eastAsia" w:ascii="宋体" w:hAnsi="宋体"/>
                <w:lang w:val="en-US"/>
              </w:rPr>
              <w:t>荆州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E6E6E6" w:fill="E6E6E6"/>
            <w:noWrap w:val="0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  <w:noWrap w:val="0"/>
          </w:tcPr>
          <w:p>
            <w:pPr>
              <w:pStyle w:val="3"/>
              <w:ind w:firstLine="0"/>
              <w:rPr>
                <w:rFonts w:ascii="宋体" w:hAnsi="宋体"/>
                <w:vertAlign w:val="superscript"/>
                <w:lang w:val="en-US"/>
              </w:rPr>
            </w:pPr>
            <w:bookmarkStart w:id="10" w:name="建筑面积"/>
            <w:r>
              <w:rPr>
                <w:rFonts w:ascii="宋体" w:hAnsi="宋体"/>
                <w:lang w:val="en-US"/>
              </w:rPr>
              <w:t>5740</w:t>
            </w:r>
            <w:bookmarkEnd w:id="10"/>
            <w:r>
              <w:rPr>
                <w:rFonts w:hint="eastAsia" w:ascii="宋体" w:hAnsi="宋体"/>
                <w:lang w:val="en-US"/>
              </w:rPr>
              <w:t>m</w:t>
            </w:r>
            <w:r>
              <w:rPr>
                <w:rFonts w:hint="eastAsia" w:ascii="宋体" w:hAnsi="宋体"/>
                <w:vertAlign w:val="superscript"/>
                <w:lang w:val="en-US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E6E6E6" w:fill="E6E6E6"/>
            <w:noWrap w:val="0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noWrap w:val="0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1" w:name="地上层数"/>
            <w:r>
              <w:rPr>
                <w:rFonts w:hint="eastAsia" w:ascii="宋体" w:hAnsi="宋体"/>
                <w:lang w:val="en-US"/>
              </w:rPr>
              <w:t>5</w:t>
            </w:r>
            <w:bookmarkEnd w:id="11"/>
            <w:r>
              <w:rPr>
                <w:rFonts w:hint="eastAsia" w:ascii="宋体" w:hAnsi="宋体"/>
                <w:lang w:val="en-US"/>
              </w:rPr>
              <w:t>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E6E6E6" w:fill="E6E6E6"/>
            <w:noWrap w:val="0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noWrap w:val="0"/>
          </w:tcPr>
          <w:p>
            <w:pPr>
              <w:pStyle w:val="3"/>
              <w:ind w:firstLine="0"/>
              <w:rPr>
                <w:rFonts w:ascii="宋体" w:hAnsi="宋体"/>
                <w:lang w:val="en-US"/>
              </w:rPr>
            </w:pPr>
            <w:bookmarkStart w:id="12" w:name="建筑高度"/>
            <w:r>
              <w:rPr>
                <w:rFonts w:hint="eastAsia" w:ascii="宋体" w:hAnsi="宋体"/>
                <w:lang w:val="en-US"/>
              </w:rPr>
              <w:t>16.2</w:t>
            </w:r>
            <w:bookmarkEnd w:id="12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</w:tbl>
    <w:p>
      <w:pPr>
        <w:pStyle w:val="2"/>
      </w:pPr>
      <w:bookmarkStart w:id="13" w:name="_Toc420309361"/>
      <w:bookmarkStart w:id="14" w:name="_Toc420663549"/>
      <w:bookmarkStart w:id="15" w:name="TitleFormat"/>
      <w:r>
        <w:rPr>
          <w:rFonts w:hint="eastAsia"/>
        </w:rPr>
        <w:t>计算依据</w:t>
      </w:r>
      <w:bookmarkEnd w:id="13"/>
      <w:bookmarkEnd w:id="14"/>
    </w:p>
    <w:bookmarkEnd w:id="15"/>
    <w:p>
      <w:pPr>
        <w:widowControl w:val="0"/>
        <w:spacing w:line="240" w:lineRule="auto"/>
        <w:jc w:val="both"/>
        <w:rPr>
          <w:sz w:val="21"/>
          <w:szCs w:val="24"/>
          <w:lang w:val="en-US"/>
        </w:rPr>
      </w:pPr>
      <w:bookmarkStart w:id="16" w:name="计算依据"/>
      <w:bookmarkEnd w:id="16"/>
      <w:r>
        <w:rPr>
          <w:rFonts w:hint="eastAsia"/>
          <w:sz w:val="21"/>
          <w:szCs w:val="24"/>
          <w:lang w:val="en-US"/>
        </w:rPr>
        <w:t>1. 《绿色建筑评价标准》(GB/T50378-2014)</w:t>
      </w:r>
    </w:p>
    <w:p>
      <w:pPr>
        <w:widowControl w:val="0"/>
        <w:spacing w:line="240" w:lineRule="auto"/>
        <w:jc w:val="both"/>
        <w:rPr>
          <w:sz w:val="21"/>
          <w:szCs w:val="24"/>
          <w:lang w:val="en-US"/>
        </w:rPr>
      </w:pPr>
      <w:r>
        <w:rPr>
          <w:rFonts w:hint="eastAsia"/>
          <w:sz w:val="21"/>
          <w:szCs w:val="24"/>
          <w:lang w:val="en-US"/>
        </w:rPr>
        <w:t>2. 《绿色建筑评价技术细则》</w:t>
      </w:r>
    </w:p>
    <w:p>
      <w:pPr>
        <w:widowControl w:val="0"/>
        <w:spacing w:line="240" w:lineRule="auto"/>
        <w:jc w:val="both"/>
        <w:rPr>
          <w:sz w:val="21"/>
          <w:szCs w:val="24"/>
          <w:lang w:val="en-US"/>
        </w:rPr>
      </w:pPr>
      <w:r>
        <w:rPr>
          <w:rFonts w:hint="eastAsia"/>
          <w:sz w:val="21"/>
          <w:szCs w:val="24"/>
          <w:lang w:val="en-US"/>
        </w:rPr>
        <w:t xml:space="preserve">3.  </w:t>
      </w:r>
      <w:r>
        <w:rPr>
          <w:rFonts w:ascii="宋体" w:hAnsi="宋体"/>
          <w:sz w:val="21"/>
          <w:szCs w:val="21"/>
        </w:rPr>
        <w:t>梦土上---生态青年社区公寓设计</w:t>
      </w:r>
      <w:r>
        <w:rPr>
          <w:rFonts w:hint="eastAsia"/>
          <w:sz w:val="21"/>
          <w:szCs w:val="24"/>
          <w:lang w:val="en-US"/>
        </w:rPr>
        <w:t>相关建筑图纸</w:t>
      </w:r>
    </w:p>
    <w:p>
      <w:pPr>
        <w:pStyle w:val="2"/>
      </w:pPr>
      <w:bookmarkStart w:id="17" w:name="_Toc420663550"/>
      <w:r>
        <w:rPr>
          <w:rFonts w:hint="eastAsia"/>
        </w:rPr>
        <w:t>计算目的</w:t>
      </w:r>
      <w:bookmarkEnd w:id="17"/>
    </w:p>
    <w:p>
      <w:pPr>
        <w:widowControl w:val="0"/>
        <w:spacing w:line="240" w:lineRule="auto"/>
        <w:ind w:firstLine="420"/>
        <w:jc w:val="both"/>
        <w:rPr>
          <w:sz w:val="21"/>
          <w:szCs w:val="24"/>
          <w:lang w:val="en-US"/>
        </w:rPr>
      </w:pPr>
      <w:r>
        <w:rPr>
          <w:rFonts w:hint="eastAsia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>
      <w:pPr>
        <w:widowControl w:val="0"/>
        <w:spacing w:line="240" w:lineRule="auto"/>
        <w:ind w:firstLine="420"/>
        <w:jc w:val="both"/>
        <w:rPr>
          <w:sz w:val="21"/>
          <w:szCs w:val="24"/>
          <w:lang w:val="en-US"/>
        </w:rPr>
      </w:pPr>
      <w:r>
        <w:rPr>
          <w:rFonts w:hint="eastAsia"/>
          <w:sz w:val="21"/>
          <w:szCs w:val="24"/>
          <w:lang w:val="en-US"/>
        </w:rPr>
        <w:t>《绿色建筑评价标准》(GB/T50378-2014)中规定：</w:t>
      </w:r>
    </w:p>
    <w:p>
      <w:pPr>
        <w:widowControl w:val="0"/>
        <w:spacing w:line="240" w:lineRule="auto"/>
        <w:jc w:val="both"/>
        <w:rPr>
          <w:sz w:val="21"/>
          <w:szCs w:val="24"/>
          <w:lang w:val="en-US"/>
        </w:rPr>
      </w:pPr>
      <w:r>
        <w:rPr>
          <w:rFonts w:hint="eastAsia"/>
          <w:b/>
          <w:sz w:val="21"/>
          <w:szCs w:val="24"/>
          <w:lang w:val="en-US"/>
        </w:rPr>
        <w:t>5.2.2</w:t>
      </w:r>
      <w:r>
        <w:rPr>
          <w:rFonts w:hint="eastAsia"/>
          <w:sz w:val="21"/>
          <w:szCs w:val="24"/>
          <w:lang w:val="en-US"/>
        </w:rPr>
        <w:t xml:space="preserve"> 外窗、玻璃幕墙的可开启部分能使建筑获得良好的通风，评价总分值为</w:t>
      </w:r>
      <w:r>
        <w:rPr>
          <w:sz w:val="21"/>
          <w:szCs w:val="24"/>
          <w:lang w:val="en-US"/>
        </w:rPr>
        <w:t xml:space="preserve">6 </w:t>
      </w:r>
      <w:r>
        <w:rPr>
          <w:rFonts w:hint="eastAsia"/>
          <w:sz w:val="21"/>
          <w:szCs w:val="24"/>
          <w:lang w:val="en-US"/>
        </w:rPr>
        <w:t>分，并按下列规则评分：</w:t>
      </w:r>
    </w:p>
    <w:p>
      <w:pPr>
        <w:widowControl w:val="0"/>
        <w:spacing w:line="240" w:lineRule="auto"/>
        <w:ind w:firstLine="420"/>
        <w:jc w:val="both"/>
        <w:rPr>
          <w:sz w:val="21"/>
          <w:szCs w:val="24"/>
          <w:lang w:val="en-US"/>
        </w:rPr>
      </w:pPr>
      <w:r>
        <w:rPr>
          <w:sz w:val="21"/>
          <w:szCs w:val="24"/>
          <w:lang w:val="en-US"/>
        </w:rPr>
        <w:t xml:space="preserve">1 </w:t>
      </w:r>
      <w:r>
        <w:rPr>
          <w:rFonts w:hint="eastAsia"/>
          <w:sz w:val="21"/>
          <w:szCs w:val="24"/>
          <w:lang w:val="en-US"/>
        </w:rPr>
        <w:t>设玻璃幕墙且不设外窗的建筑，其玻璃幕墙透明部分可开启面积比例达到</w:t>
      </w:r>
      <w:r>
        <w:rPr>
          <w:sz w:val="21"/>
          <w:szCs w:val="24"/>
          <w:lang w:val="en-US"/>
        </w:rPr>
        <w:t xml:space="preserve">5 % </w:t>
      </w:r>
      <w:r>
        <w:rPr>
          <w:rFonts w:hint="eastAsia"/>
          <w:sz w:val="21"/>
          <w:szCs w:val="24"/>
          <w:lang w:val="en-US"/>
        </w:rPr>
        <w:t>，得</w:t>
      </w:r>
      <w:r>
        <w:rPr>
          <w:sz w:val="21"/>
          <w:szCs w:val="24"/>
          <w:lang w:val="en-US"/>
        </w:rPr>
        <w:t xml:space="preserve">4 </w:t>
      </w:r>
      <w:r>
        <w:rPr>
          <w:rFonts w:hint="eastAsia"/>
          <w:sz w:val="21"/>
          <w:szCs w:val="24"/>
          <w:lang w:val="en-US"/>
        </w:rPr>
        <w:t>分；达到</w:t>
      </w:r>
      <w:r>
        <w:rPr>
          <w:sz w:val="21"/>
          <w:szCs w:val="24"/>
          <w:lang w:val="en-US"/>
        </w:rPr>
        <w:t>1 0 %</w:t>
      </w:r>
      <w:r>
        <w:rPr>
          <w:rFonts w:hint="eastAsia"/>
          <w:sz w:val="21"/>
          <w:szCs w:val="24"/>
          <w:lang w:val="en-US"/>
        </w:rPr>
        <w:t>，得</w:t>
      </w:r>
      <w:r>
        <w:rPr>
          <w:sz w:val="21"/>
          <w:szCs w:val="24"/>
          <w:lang w:val="en-US"/>
        </w:rPr>
        <w:t xml:space="preserve">6 </w:t>
      </w:r>
      <w:r>
        <w:rPr>
          <w:rFonts w:hint="eastAsia"/>
          <w:sz w:val="21"/>
          <w:szCs w:val="24"/>
          <w:lang w:val="en-US"/>
        </w:rPr>
        <w:t>分。</w:t>
      </w:r>
    </w:p>
    <w:p>
      <w:pPr>
        <w:widowControl w:val="0"/>
        <w:spacing w:line="240" w:lineRule="auto"/>
        <w:ind w:firstLine="420"/>
        <w:jc w:val="both"/>
        <w:rPr>
          <w:sz w:val="21"/>
          <w:szCs w:val="24"/>
          <w:lang w:val="en-US"/>
        </w:rPr>
      </w:pPr>
      <w:r>
        <w:rPr>
          <w:sz w:val="21"/>
          <w:szCs w:val="24"/>
          <w:lang w:val="en-US"/>
        </w:rPr>
        <w:t xml:space="preserve">2 </w:t>
      </w:r>
      <w:r>
        <w:rPr>
          <w:rFonts w:hint="eastAsia"/>
          <w:sz w:val="21"/>
          <w:szCs w:val="24"/>
          <w:lang w:val="en-US"/>
        </w:rPr>
        <w:t>设外窗且不设玻璃幕墙的建筑，外窗可开启面积比例达到</w:t>
      </w:r>
      <w:r>
        <w:rPr>
          <w:sz w:val="21"/>
          <w:szCs w:val="24"/>
          <w:lang w:val="en-US"/>
        </w:rPr>
        <w:t>3 0 %</w:t>
      </w:r>
      <w:r>
        <w:rPr>
          <w:rFonts w:hint="eastAsia"/>
          <w:sz w:val="21"/>
          <w:szCs w:val="24"/>
          <w:lang w:val="en-US"/>
        </w:rPr>
        <w:t>，得</w:t>
      </w:r>
      <w:r>
        <w:rPr>
          <w:sz w:val="21"/>
          <w:szCs w:val="24"/>
          <w:lang w:val="en-US"/>
        </w:rPr>
        <w:t xml:space="preserve">4 </w:t>
      </w:r>
      <w:r>
        <w:rPr>
          <w:rFonts w:hint="eastAsia"/>
          <w:sz w:val="21"/>
          <w:szCs w:val="24"/>
          <w:lang w:val="en-US"/>
        </w:rPr>
        <w:t>分；达到</w:t>
      </w:r>
      <w:r>
        <w:rPr>
          <w:sz w:val="21"/>
          <w:szCs w:val="24"/>
          <w:lang w:val="en-US"/>
        </w:rPr>
        <w:t>3 5 %</w:t>
      </w:r>
      <w:r>
        <w:rPr>
          <w:rFonts w:hint="eastAsia"/>
          <w:sz w:val="21"/>
          <w:szCs w:val="24"/>
          <w:lang w:val="en-US"/>
        </w:rPr>
        <w:t>，得</w:t>
      </w:r>
      <w:r>
        <w:rPr>
          <w:sz w:val="21"/>
          <w:szCs w:val="24"/>
          <w:lang w:val="en-US"/>
        </w:rPr>
        <w:t xml:space="preserve">6 </w:t>
      </w:r>
      <w:r>
        <w:rPr>
          <w:rFonts w:hint="eastAsia"/>
          <w:sz w:val="21"/>
          <w:szCs w:val="24"/>
          <w:lang w:val="en-US"/>
        </w:rPr>
        <w:t>分。</w:t>
      </w:r>
    </w:p>
    <w:p>
      <w:pPr>
        <w:widowControl w:val="0"/>
        <w:spacing w:line="240" w:lineRule="auto"/>
        <w:ind w:firstLine="420"/>
        <w:jc w:val="both"/>
        <w:rPr>
          <w:sz w:val="21"/>
          <w:szCs w:val="24"/>
          <w:lang w:val="en-US"/>
        </w:rPr>
      </w:pPr>
      <w:r>
        <w:rPr>
          <w:sz w:val="21"/>
          <w:szCs w:val="24"/>
          <w:lang w:val="en-US"/>
        </w:rPr>
        <w:t xml:space="preserve">3 </w:t>
      </w:r>
      <w:r>
        <w:rPr>
          <w:rFonts w:hint="eastAsia"/>
          <w:sz w:val="21"/>
          <w:szCs w:val="24"/>
          <w:lang w:val="en-US"/>
        </w:rPr>
        <w:t>设玻璃幕墙和外窗的建筑，对其玻璃幕墙透明部分和外窗分别按本条第</w:t>
      </w:r>
      <w:r>
        <w:rPr>
          <w:sz w:val="21"/>
          <w:szCs w:val="24"/>
          <w:lang w:val="en-US"/>
        </w:rPr>
        <w:t xml:space="preserve">1 </w:t>
      </w:r>
      <w:r>
        <w:rPr>
          <w:rFonts w:hint="eastAsia"/>
          <w:sz w:val="21"/>
          <w:szCs w:val="24"/>
          <w:lang w:val="en-US"/>
        </w:rPr>
        <w:t>款和第</w:t>
      </w:r>
      <w:r>
        <w:rPr>
          <w:sz w:val="21"/>
          <w:szCs w:val="24"/>
          <w:lang w:val="en-US"/>
        </w:rPr>
        <w:t xml:space="preserve">2 </w:t>
      </w:r>
      <w:r>
        <w:rPr>
          <w:rFonts w:hint="eastAsia"/>
          <w:sz w:val="21"/>
          <w:szCs w:val="24"/>
          <w:lang w:val="en-US"/>
        </w:rPr>
        <w:t>款进行评价，得分取两项得分的平均值。</w:t>
      </w:r>
    </w:p>
    <w:p>
      <w:pPr>
        <w:widowControl w:val="0"/>
        <w:spacing w:line="240" w:lineRule="auto"/>
        <w:ind w:firstLine="420"/>
        <w:jc w:val="both"/>
        <w:rPr>
          <w:sz w:val="21"/>
          <w:szCs w:val="24"/>
          <w:lang w:val="en-US"/>
        </w:rPr>
      </w:pPr>
      <w:r>
        <w:rPr>
          <w:sz w:val="21"/>
          <w:szCs w:val="24"/>
          <w:lang w:val="en-US"/>
        </w:rPr>
        <w:t>《绿色建筑评价技术细则》5.2.2的【具体评价方式】</w:t>
      </w:r>
      <w:r>
        <w:rPr>
          <w:rFonts w:hint="eastAsia"/>
          <w:sz w:val="21"/>
          <w:szCs w:val="24"/>
          <w:lang w:val="en-US"/>
        </w:rPr>
        <w:t>中规定：</w:t>
      </w:r>
    </w:p>
    <w:p>
      <w:pPr>
        <w:widowControl w:val="0"/>
        <w:spacing w:line="240" w:lineRule="auto"/>
        <w:ind w:firstLine="420"/>
        <w:jc w:val="both"/>
        <w:rPr>
          <w:sz w:val="21"/>
          <w:szCs w:val="24"/>
          <w:lang w:val="en-US"/>
        </w:rPr>
      </w:pPr>
      <w:r>
        <w:rPr>
          <w:sz w:val="21"/>
          <w:szCs w:val="24"/>
          <w:lang w:val="en-US"/>
        </w:rPr>
        <w:t>当建筑层数大于18层时，18层以上部分不参评，仅对其第18层及以下各层的外窗和玻璃幕墙可开启面积比例进行评价</w:t>
      </w:r>
      <w:r>
        <w:rPr>
          <w:rFonts w:hint="eastAsia"/>
          <w:sz w:val="21"/>
          <w:szCs w:val="24"/>
          <w:lang w:val="en-US"/>
        </w:rPr>
        <w:t>。</w:t>
      </w:r>
    </w:p>
    <w:p>
      <w:pPr>
        <w:widowControl w:val="0"/>
        <w:spacing w:line="240" w:lineRule="auto"/>
        <w:ind w:firstLine="420"/>
        <w:jc w:val="both"/>
        <w:rPr>
          <w:sz w:val="21"/>
          <w:szCs w:val="24"/>
          <w:lang w:val="en-US"/>
        </w:rPr>
      </w:pPr>
      <w:r>
        <w:rPr>
          <w:rFonts w:hint="eastAsia"/>
          <w:sz w:val="21"/>
          <w:szCs w:val="24"/>
          <w:lang w:val="en-US"/>
        </w:rPr>
        <w:t>本计算书主要通过对建筑18层及18层以下部分的外窗与玻璃幕墙可开启面积比例的计算，判断设计建筑对该条文的符合情况。</w:t>
      </w:r>
    </w:p>
    <w:p>
      <w:pPr>
        <w:pStyle w:val="2"/>
      </w:pPr>
      <w:bookmarkStart w:id="18" w:name="_Toc420663551"/>
      <w:r>
        <w:rPr>
          <w:rFonts w:hint="eastAsia"/>
        </w:rPr>
        <w:t>计算内容</w:t>
      </w:r>
      <w:bookmarkEnd w:id="18"/>
      <w:r>
        <w:rPr>
          <w:rFonts w:hint="eastAsia"/>
        </w:rPr>
        <w:t>和方法</w:t>
      </w:r>
    </w:p>
    <w:p>
      <w:pPr>
        <w:pStyle w:val="4"/>
      </w:pPr>
      <w:r>
        <w:rPr>
          <w:rFonts w:hint="eastAsia"/>
        </w:rPr>
        <w:t>计算内容</w:t>
      </w:r>
    </w:p>
    <w:p>
      <w:pPr>
        <w:widowControl w:val="0"/>
        <w:spacing w:line="240" w:lineRule="auto"/>
        <w:ind w:firstLine="420"/>
        <w:jc w:val="both"/>
        <w:rPr>
          <w:sz w:val="21"/>
          <w:szCs w:val="24"/>
          <w:lang w:val="en-US"/>
        </w:rPr>
      </w:pPr>
      <w:r>
        <w:rPr>
          <w:rFonts w:hint="eastAsia"/>
          <w:sz w:val="21"/>
          <w:szCs w:val="24"/>
          <w:lang w:val="en-US"/>
        </w:rPr>
        <w:t>本计算书为</w:t>
      </w:r>
      <w:bookmarkStart w:id="19" w:name="工程名称4"/>
      <w:r>
        <w:rPr>
          <w:rFonts w:hint="eastAsia" w:ascii="宋体" w:hAnsi="宋体"/>
          <w:sz w:val="21"/>
          <w:szCs w:val="21"/>
        </w:rPr>
        <w:t>*****</w:t>
      </w:r>
      <w:bookmarkEnd w:id="19"/>
      <w:r>
        <w:rPr>
          <w:rFonts w:hint="eastAsia"/>
          <w:sz w:val="21"/>
          <w:szCs w:val="24"/>
          <w:lang w:val="en-US"/>
        </w:rPr>
        <w:t>建筑可开启面积比例的计算书。</w:t>
      </w:r>
    </w:p>
    <w:p>
      <w:pPr>
        <w:pStyle w:val="4"/>
      </w:pPr>
      <w:r>
        <w:rPr>
          <w:rFonts w:hint="eastAsia"/>
        </w:rPr>
        <w:t>计算方法</w:t>
      </w:r>
    </w:p>
    <w:p>
      <w:pPr>
        <w:widowControl w:val="0"/>
        <w:spacing w:line="240" w:lineRule="auto"/>
        <w:ind w:firstLine="422"/>
        <w:jc w:val="both"/>
        <w:rPr>
          <w:sz w:val="21"/>
          <w:szCs w:val="24"/>
          <w:lang w:val="en-US"/>
        </w:rPr>
      </w:pPr>
      <w:r>
        <w:rPr>
          <w:rFonts w:hint="eastAsia"/>
          <w:b/>
          <w:sz w:val="21"/>
          <w:szCs w:val="24"/>
          <w:lang w:val="en-US"/>
        </w:rPr>
        <w:t>4.2.1 外窗可开启面积比例计算：</w:t>
      </w:r>
    </w:p>
    <w:p>
      <w:pPr>
        <w:widowControl w:val="0"/>
        <w:spacing w:line="240" w:lineRule="auto"/>
        <w:jc w:val="center"/>
        <w:rPr>
          <w:sz w:val="21"/>
          <w:szCs w:val="24"/>
          <w:lang w:val="en-US"/>
        </w:rPr>
      </w:pPr>
      <w:r>
        <w:rPr>
          <w:position w:val="-30"/>
          <w:sz w:val="21"/>
          <w:szCs w:val="24"/>
          <w:lang w:val="en-US"/>
        </w:rPr>
        <w:drawing>
          <wp:inline distT="0" distB="0" distL="0" distR="0">
            <wp:extent cx="1361440" cy="44069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4"/>
          <w:lang w:val="en-US"/>
        </w:rPr>
        <w:t xml:space="preserve"> </w:t>
      </w:r>
    </w:p>
    <w:p>
      <w:pPr>
        <w:widowControl w:val="0"/>
        <w:spacing w:line="240" w:lineRule="auto"/>
        <w:ind w:left="360"/>
        <w:rPr>
          <w:sz w:val="21"/>
          <w:szCs w:val="24"/>
          <w:lang w:val="en-US"/>
        </w:rPr>
      </w:pPr>
      <w:r>
        <w:rPr>
          <w:rFonts w:hint="eastAsia"/>
          <w:sz w:val="21"/>
          <w:szCs w:val="24"/>
          <w:lang w:val="en-US"/>
        </w:rPr>
        <w:t>式中：</w:t>
      </w:r>
    </w:p>
    <w:p>
      <w:pPr>
        <w:widowControl w:val="0"/>
        <w:spacing w:line="240" w:lineRule="auto"/>
        <w:ind w:left="900"/>
        <w:rPr>
          <w:sz w:val="21"/>
          <w:szCs w:val="24"/>
          <w:lang w:val="en-US"/>
        </w:rPr>
      </w:pPr>
      <w:r>
        <w:rPr>
          <w:position w:val="-12"/>
          <w:sz w:val="21"/>
          <w:szCs w:val="24"/>
          <w:lang w:val="en-US"/>
        </w:rPr>
        <w:drawing>
          <wp:inline distT="0" distB="0" distL="0" distR="0">
            <wp:extent cx="421005" cy="23685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4"/>
          <w:lang w:val="en-US"/>
        </w:rPr>
        <w:t xml:space="preserve"> </w:t>
      </w:r>
      <w:r>
        <w:rPr>
          <w:rFonts w:hint="eastAsia"/>
          <w:sz w:val="21"/>
          <w:szCs w:val="24"/>
          <w:lang w:val="en-US"/>
        </w:rPr>
        <w:t>—外窗可开启面积比例（%）；</w:t>
      </w:r>
    </w:p>
    <w:p>
      <w:pPr>
        <w:widowControl w:val="0"/>
        <w:spacing w:line="240" w:lineRule="auto"/>
        <w:ind w:left="900"/>
        <w:rPr>
          <w:sz w:val="21"/>
          <w:szCs w:val="24"/>
          <w:lang w:val="en-US"/>
        </w:rPr>
      </w:pPr>
      <w:r>
        <w:rPr>
          <w:position w:val="-12"/>
          <w:sz w:val="21"/>
          <w:szCs w:val="24"/>
          <w:lang w:val="en-US"/>
        </w:rPr>
        <w:drawing>
          <wp:inline distT="0" distB="0" distL="0" distR="0">
            <wp:extent cx="335280" cy="236855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4"/>
          <w:lang w:val="en-US"/>
        </w:rPr>
        <w:t xml:space="preserve"> </w:t>
      </w:r>
      <w:r>
        <w:rPr>
          <w:rFonts w:hint="eastAsia"/>
          <w:sz w:val="21"/>
          <w:szCs w:val="24"/>
          <w:lang w:val="en-US"/>
        </w:rPr>
        <w:t xml:space="preserve"> —18层及18层以下部分的外窗可开启面积之和（m</w:t>
      </w:r>
      <w:r>
        <w:rPr>
          <w:rFonts w:hint="eastAsia"/>
          <w:sz w:val="21"/>
          <w:szCs w:val="24"/>
          <w:vertAlign w:val="superscript"/>
          <w:lang w:val="en-US"/>
        </w:rPr>
        <w:t>2</w:t>
      </w:r>
      <w:r>
        <w:rPr>
          <w:rFonts w:hint="eastAsia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ind w:left="900"/>
        <w:rPr>
          <w:sz w:val="21"/>
          <w:szCs w:val="24"/>
          <w:lang w:val="en-US"/>
        </w:rPr>
      </w:pPr>
      <w:r>
        <w:rPr>
          <w:position w:val="-12"/>
          <w:sz w:val="21"/>
          <w:szCs w:val="24"/>
          <w:lang w:val="en-US"/>
        </w:rPr>
        <w:drawing>
          <wp:inline distT="0" distB="0" distL="0" distR="0">
            <wp:extent cx="282575" cy="236855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4"/>
          <w:lang w:val="en-US"/>
        </w:rPr>
        <w:t xml:space="preserve"> </w:t>
      </w:r>
      <w:r>
        <w:rPr>
          <w:rFonts w:hint="eastAsia"/>
          <w:sz w:val="21"/>
          <w:szCs w:val="24"/>
          <w:lang w:val="en-US"/>
        </w:rPr>
        <w:t xml:space="preserve">  —18层及18层以下部分的外窗面积之和（m</w:t>
      </w:r>
      <w:r>
        <w:rPr>
          <w:rFonts w:hint="eastAsia"/>
          <w:sz w:val="21"/>
          <w:szCs w:val="24"/>
          <w:vertAlign w:val="superscript"/>
          <w:lang w:val="en-US"/>
        </w:rPr>
        <w:t>2</w:t>
      </w:r>
      <w:r>
        <w:rPr>
          <w:rFonts w:hint="eastAsia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rPr>
          <w:sz w:val="21"/>
          <w:szCs w:val="24"/>
          <w:lang w:val="en-US"/>
        </w:rPr>
      </w:pPr>
      <w:r>
        <w:rPr>
          <w:rFonts w:hint="eastAsia"/>
          <w:sz w:val="21"/>
          <w:szCs w:val="24"/>
          <w:lang w:val="en-US"/>
        </w:rPr>
        <w:tab/>
      </w:r>
      <w:r>
        <w:rPr>
          <w:rFonts w:hint="eastAsia"/>
          <w:sz w:val="21"/>
          <w:szCs w:val="24"/>
          <w:lang w:val="en-US"/>
        </w:rPr>
        <w:t>注：可开启面积即可开启窗扇的洞口面积。如图1所示。</w:t>
      </w:r>
    </w:p>
    <w:p>
      <w:pPr>
        <w:widowControl w:val="0"/>
        <w:spacing w:line="240" w:lineRule="auto"/>
        <w:rPr>
          <w:sz w:val="21"/>
          <w:szCs w:val="24"/>
          <w:lang w:val="en-US"/>
        </w:rPr>
      </w:pPr>
    </w:p>
    <w:p>
      <w:pPr>
        <w:widowControl w:val="0"/>
        <w:spacing w:line="240" w:lineRule="auto"/>
        <w:ind w:firstLine="424"/>
        <w:rPr>
          <w:sz w:val="21"/>
          <w:szCs w:val="24"/>
          <w:lang w:val="en-US"/>
        </w:rPr>
      </w:pPr>
      <w:r>
        <w:rPr>
          <w:rFonts w:hint="eastAsia"/>
          <w:b/>
          <w:sz w:val="21"/>
          <w:szCs w:val="24"/>
          <w:lang w:val="en-US"/>
        </w:rPr>
        <w:t>4.2.2 玻璃幕墙可开启面积比例计算：</w:t>
      </w:r>
    </w:p>
    <w:p>
      <w:pPr>
        <w:widowControl w:val="0"/>
        <w:spacing w:line="240" w:lineRule="auto"/>
        <w:jc w:val="center"/>
        <w:rPr>
          <w:sz w:val="21"/>
          <w:szCs w:val="24"/>
          <w:lang w:val="en-US"/>
        </w:rPr>
      </w:pPr>
      <w:r>
        <w:rPr>
          <w:position w:val="-30"/>
          <w:sz w:val="21"/>
          <w:szCs w:val="24"/>
          <w:lang w:val="en-US"/>
        </w:rPr>
        <w:drawing>
          <wp:inline distT="0" distB="0" distL="0" distR="0">
            <wp:extent cx="1381760" cy="44069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4"/>
          <w:lang w:val="en-US"/>
        </w:rPr>
        <w:t xml:space="preserve"> </w:t>
      </w:r>
    </w:p>
    <w:p>
      <w:pPr>
        <w:widowControl w:val="0"/>
        <w:spacing w:line="240" w:lineRule="auto"/>
        <w:ind w:left="360"/>
        <w:rPr>
          <w:sz w:val="21"/>
          <w:szCs w:val="24"/>
          <w:lang w:val="en-US"/>
        </w:rPr>
      </w:pPr>
      <w:r>
        <w:rPr>
          <w:rFonts w:hint="eastAsia"/>
          <w:sz w:val="21"/>
          <w:szCs w:val="24"/>
          <w:lang w:val="en-US"/>
        </w:rPr>
        <w:t>式中：</w:t>
      </w:r>
    </w:p>
    <w:p>
      <w:pPr>
        <w:widowControl w:val="0"/>
        <w:spacing w:line="240" w:lineRule="auto"/>
        <w:ind w:left="900"/>
        <w:rPr>
          <w:sz w:val="21"/>
          <w:szCs w:val="24"/>
          <w:lang w:val="en-US"/>
        </w:rPr>
      </w:pPr>
      <w:r>
        <w:rPr>
          <w:position w:val="-12"/>
          <w:sz w:val="21"/>
          <w:szCs w:val="24"/>
          <w:lang w:val="en-US"/>
        </w:rPr>
        <w:drawing>
          <wp:inline distT="0" distB="0" distL="0" distR="0">
            <wp:extent cx="440690" cy="236855"/>
            <wp:effectExtent l="0" t="0" r="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4"/>
          <w:lang w:val="en-US"/>
        </w:rPr>
        <w:t xml:space="preserve"> </w:t>
      </w:r>
      <w:r>
        <w:rPr>
          <w:rFonts w:hint="eastAsia"/>
          <w:sz w:val="21"/>
          <w:szCs w:val="24"/>
          <w:lang w:val="en-US"/>
        </w:rPr>
        <w:t>—玻璃幕墙可开启面积比例（%）；</w:t>
      </w:r>
    </w:p>
    <w:p>
      <w:pPr>
        <w:widowControl w:val="0"/>
        <w:spacing w:line="240" w:lineRule="auto"/>
        <w:ind w:left="900"/>
        <w:rPr>
          <w:sz w:val="21"/>
          <w:szCs w:val="24"/>
          <w:lang w:val="en-US"/>
        </w:rPr>
      </w:pPr>
      <w:r>
        <w:rPr>
          <w:position w:val="-12"/>
          <w:sz w:val="21"/>
          <w:szCs w:val="24"/>
          <w:lang w:val="en-US"/>
        </w:rPr>
        <w:drawing>
          <wp:inline distT="0" distB="0" distL="0" distR="0">
            <wp:extent cx="354965" cy="236855"/>
            <wp:effectExtent l="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4"/>
          <w:lang w:val="en-US"/>
        </w:rPr>
        <w:t xml:space="preserve"> </w:t>
      </w:r>
      <w:r>
        <w:rPr>
          <w:rFonts w:hint="eastAsia"/>
          <w:sz w:val="21"/>
          <w:szCs w:val="24"/>
          <w:lang w:val="en-US"/>
        </w:rPr>
        <w:t xml:space="preserve"> —18层及18层以下部分的玻璃幕墙可开启面积之和（m</w:t>
      </w:r>
      <w:r>
        <w:rPr>
          <w:rFonts w:hint="eastAsia"/>
          <w:sz w:val="21"/>
          <w:szCs w:val="24"/>
          <w:vertAlign w:val="superscript"/>
          <w:lang w:val="en-US"/>
        </w:rPr>
        <w:t>2</w:t>
      </w:r>
      <w:r>
        <w:rPr>
          <w:rFonts w:hint="eastAsia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ind w:left="900"/>
        <w:rPr>
          <w:sz w:val="21"/>
          <w:szCs w:val="24"/>
          <w:lang w:val="en-US"/>
        </w:rPr>
      </w:pPr>
      <w:r>
        <w:rPr>
          <w:position w:val="-12"/>
          <w:sz w:val="21"/>
          <w:szCs w:val="24"/>
          <w:lang w:val="en-US"/>
        </w:rPr>
        <w:drawing>
          <wp:inline distT="0" distB="0" distL="0" distR="0">
            <wp:extent cx="302895" cy="236855"/>
            <wp:effectExtent l="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4"/>
          <w:lang w:val="en-US"/>
        </w:rPr>
        <w:t xml:space="preserve">  </w:t>
      </w:r>
      <w:r>
        <w:rPr>
          <w:sz w:val="21"/>
          <w:szCs w:val="24"/>
          <w:lang w:val="en-US"/>
        </w:rPr>
        <w:t xml:space="preserve"> </w:t>
      </w:r>
      <w:r>
        <w:rPr>
          <w:rFonts w:hint="eastAsia"/>
          <w:sz w:val="21"/>
          <w:szCs w:val="24"/>
          <w:lang w:val="en-US"/>
        </w:rPr>
        <w:t>—18层及18层以下部分的玻璃幕墙透明部分面积之和（m</w:t>
      </w:r>
      <w:r>
        <w:rPr>
          <w:rFonts w:hint="eastAsia"/>
          <w:sz w:val="21"/>
          <w:szCs w:val="24"/>
          <w:vertAlign w:val="superscript"/>
          <w:lang w:val="en-US"/>
        </w:rPr>
        <w:t>2</w:t>
      </w:r>
      <w:r>
        <w:rPr>
          <w:rFonts w:hint="eastAsia"/>
          <w:sz w:val="21"/>
          <w:szCs w:val="24"/>
          <w:lang w:val="en-US"/>
        </w:rPr>
        <w:t>）；</w:t>
      </w:r>
    </w:p>
    <w:p>
      <w:pPr>
        <w:widowControl w:val="0"/>
        <w:spacing w:line="240" w:lineRule="auto"/>
        <w:jc w:val="center"/>
        <w:rPr>
          <w:sz w:val="21"/>
          <w:szCs w:val="24"/>
          <w:lang w:val="en-US"/>
        </w:rPr>
      </w:pPr>
      <w:r>
        <w:rPr>
          <w:sz w:val="21"/>
          <w:szCs w:val="24"/>
          <w:lang w:val="en-US"/>
        </w:rPr>
        <w:drawing>
          <wp:inline distT="0" distB="0" distL="0" distR="0">
            <wp:extent cx="4010025" cy="2341880"/>
            <wp:effectExtent l="0" t="0" r="0" b="1270"/>
            <wp:docPr id="13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开口面积和开启面积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sz w:val="21"/>
          <w:szCs w:val="24"/>
          <w:lang w:val="en-US"/>
        </w:rPr>
      </w:pPr>
      <w:r>
        <w:rPr>
          <w:rFonts w:hint="eastAsia"/>
          <w:sz w:val="21"/>
          <w:szCs w:val="24"/>
          <w:lang w:val="en-US"/>
        </w:rPr>
        <w:t>图1</w:t>
      </w:r>
      <w:r>
        <w:rPr>
          <w:rFonts w:hint="eastAsia"/>
          <w:sz w:val="21"/>
          <w:szCs w:val="24"/>
          <w:lang w:val="en-US"/>
        </w:rPr>
        <w:tab/>
      </w:r>
      <w:r>
        <w:rPr>
          <w:rFonts w:hint="eastAsia"/>
          <w:sz w:val="21"/>
          <w:szCs w:val="24"/>
          <w:lang w:val="en-US"/>
        </w:rPr>
        <w:t>可开启面积和通风开口面积关系示意图</w:t>
      </w:r>
    </w:p>
    <w:p>
      <w:pPr>
        <w:widowControl w:val="0"/>
        <w:spacing w:line="240" w:lineRule="auto"/>
        <w:ind w:left="900"/>
        <w:rPr>
          <w:sz w:val="21"/>
          <w:szCs w:val="24"/>
          <w:lang w:val="en-US"/>
        </w:rPr>
      </w:pPr>
    </w:p>
    <w:p>
      <w:pPr>
        <w:widowControl w:val="0"/>
        <w:spacing w:line="240" w:lineRule="auto"/>
        <w:ind w:left="900"/>
        <w:sectPr>
          <w:pgSz w:w="11906" w:h="16838"/>
          <w:pgMar w:top="1440" w:right="1418" w:bottom="1440" w:left="1418" w:header="851" w:footer="992" w:gutter="0"/>
          <w:cols w:space="425" w:num="1"/>
          <w:docGrid w:linePitch="360" w:charSpace="0"/>
        </w:sectPr>
      </w:pPr>
    </w:p>
    <w:p>
      <w:pPr>
        <w:pStyle w:val="2"/>
        <w:rPr>
          <w:sz w:val="21"/>
          <w:szCs w:val="24"/>
        </w:rPr>
      </w:pPr>
      <w:r>
        <w:rPr>
          <w:rFonts w:hint="eastAsia"/>
        </w:rPr>
        <w:t>可开启面积比例统计</w:t>
      </w:r>
    </w:p>
    <w:p>
      <w:pPr>
        <w:widowControl w:val="0"/>
        <w:spacing w:line="240" w:lineRule="auto"/>
        <w:jc w:val="center"/>
        <w:rPr>
          <w:sz w:val="21"/>
          <w:szCs w:val="24"/>
          <w:lang w:val="en-US"/>
        </w:rPr>
      </w:pPr>
      <w:bookmarkStart w:id="20" w:name="统计计算表表头"/>
      <w:r>
        <w:rPr>
          <w:rFonts w:hint="eastAsia"/>
          <w:sz w:val="21"/>
          <w:szCs w:val="24"/>
          <w:lang w:val="en-US"/>
        </w:rPr>
        <w:t>表1-*****建筑可开启面积比例统计计算表</w:t>
      </w:r>
      <w:bookmarkEnd w:id="20"/>
    </w:p>
    <w:p>
      <w:pPr>
        <w:widowControl w:val="0"/>
        <w:spacing w:line="240" w:lineRule="auto"/>
        <w:rPr>
          <w:sz w:val="21"/>
          <w:szCs w:val="24"/>
          <w:lang w:val="en-US"/>
        </w:rPr>
      </w:pPr>
      <w:bookmarkStart w:id="21" w:name="外窗表标示"/>
      <w:r>
        <w:rPr>
          <w:rFonts w:hint="eastAsia"/>
          <w:sz w:val="21"/>
          <w:szCs w:val="24"/>
          <w:lang w:val="en-US"/>
        </w:rPr>
        <w:t>外窗</w:t>
      </w:r>
    </w:p>
    <w:tbl>
      <w:tblPr>
        <w:tblStyle w:val="30"/>
        <w:tblW w:w="13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0" w:type="dxa"/>
            <w:gridSpan w:val="3"/>
            <w:noWrap w:val="0"/>
          </w:tcPr>
          <w:p>
            <w:r>
              <w:t>外窗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r>
              <w:t>外窗尺寸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>
            <w:r>
              <w:t>外窗可开启面积尺寸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r>
              <w:t>可开启面积比例(%)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编号</w:t>
            </w:r>
          </w:p>
        </w:tc>
        <w:tc>
          <w:tcPr>
            <w:tcW w:w="2360" w:type="dxa"/>
            <w:noWrap w:val="0"/>
            <w:vAlign w:val="center"/>
          </w:tcPr>
          <w:p>
            <w:r>
              <w:t>类型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数量(个)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宽度(m)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高度(m)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面积(㎡)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宽度(m)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高度(m)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数量(个)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面积(㎡)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C1203</w:t>
            </w:r>
          </w:p>
        </w:tc>
        <w:tc>
          <w:tcPr>
            <w:tcW w:w="2360" w:type="dxa"/>
            <w:noWrap w:val="0"/>
            <w:vAlign w:val="center"/>
          </w:tcPr>
          <w:p>
            <w:r>
              <w:t>推拉窗-向左开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0.30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0.36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0.60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0.30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0.18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C1212</w:t>
            </w:r>
          </w:p>
        </w:tc>
        <w:tc>
          <w:tcPr>
            <w:tcW w:w="2360" w:type="dxa"/>
            <w:noWrap w:val="0"/>
            <w:vAlign w:val="center"/>
          </w:tcPr>
          <w:p>
            <w:r>
              <w:t>推拉窗-向左开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45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1.44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0.60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0.72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C1221</w:t>
            </w:r>
          </w:p>
        </w:tc>
        <w:tc>
          <w:tcPr>
            <w:tcW w:w="2360" w:type="dxa"/>
            <w:noWrap w:val="0"/>
            <w:vAlign w:val="center"/>
          </w:tcPr>
          <w:p>
            <w:r>
              <w:t>推拉窗-向左开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2.10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2.52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2.10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2.52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C1512</w:t>
            </w:r>
          </w:p>
        </w:tc>
        <w:tc>
          <w:tcPr>
            <w:tcW w:w="2360" w:type="dxa"/>
            <w:noWrap w:val="0"/>
            <w:vAlign w:val="center"/>
          </w:tcPr>
          <w:p>
            <w:r>
              <w:t>推拉窗-向左开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1.80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0.75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0.90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C2112</w:t>
            </w:r>
          </w:p>
        </w:tc>
        <w:tc>
          <w:tcPr>
            <w:tcW w:w="2360" w:type="dxa"/>
            <w:noWrap w:val="0"/>
            <w:vAlign w:val="center"/>
          </w:tcPr>
          <w:p>
            <w:r>
              <w:t>推拉窗-向左开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26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2.10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2.52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1.05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1.26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C2427</w:t>
            </w:r>
          </w:p>
        </w:tc>
        <w:tc>
          <w:tcPr>
            <w:tcW w:w="2360" w:type="dxa"/>
            <w:noWrap w:val="0"/>
            <w:vAlign w:val="center"/>
          </w:tcPr>
          <w:p>
            <w:r>
              <w:t>推拉窗-向左开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2.40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6.48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2.70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3.24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D1221</w:t>
            </w:r>
          </w:p>
        </w:tc>
        <w:tc>
          <w:tcPr>
            <w:tcW w:w="2360" w:type="dxa"/>
            <w:noWrap w:val="0"/>
            <w:vAlign w:val="center"/>
          </w:tcPr>
          <w:p>
            <w:r>
              <w:t>推拉窗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2.10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2.52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1.20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2.10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2.52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D1521</w:t>
            </w:r>
          </w:p>
        </w:tc>
        <w:tc>
          <w:tcPr>
            <w:tcW w:w="2360" w:type="dxa"/>
            <w:noWrap w:val="0"/>
            <w:vAlign w:val="center"/>
          </w:tcPr>
          <w:p>
            <w:r>
              <w:t>推拉窗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2.10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3.15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1.50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2.10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3.15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合计</w:t>
            </w:r>
          </w:p>
        </w:tc>
        <w:tc>
          <w:tcPr>
            <w:tcW w:w="236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191.43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102.33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53</w:t>
            </w:r>
          </w:p>
        </w:tc>
      </w:tr>
      <w:bookmarkEnd w:id="21"/>
    </w:tbl>
    <w:p>
      <w:pPr>
        <w:widowControl w:val="0"/>
        <w:spacing w:line="240" w:lineRule="auto"/>
        <w:jc w:val="both"/>
        <w:rPr>
          <w:sz w:val="21"/>
          <w:szCs w:val="24"/>
          <w:lang w:val="en-US"/>
        </w:rPr>
      </w:pPr>
      <w:bookmarkStart w:id="22" w:name="外窗统计计算表"/>
      <w:bookmarkEnd w:id="22"/>
    </w:p>
    <w:p>
      <w:pPr>
        <w:widowControl w:val="0"/>
        <w:spacing w:line="240" w:lineRule="auto"/>
        <w:rPr>
          <w:sz w:val="21"/>
          <w:szCs w:val="24"/>
          <w:lang w:val="en-US"/>
        </w:rPr>
      </w:pPr>
      <w:bookmarkStart w:id="23" w:name="玻璃幕墙表标示"/>
      <w:r>
        <w:rPr>
          <w:rFonts w:hint="eastAsia"/>
          <w:sz w:val="21"/>
          <w:szCs w:val="24"/>
          <w:lang w:val="en-US"/>
        </w:rPr>
        <w:t>玻璃幕墙</w:t>
      </w:r>
    </w:p>
    <w:tbl>
      <w:tblPr>
        <w:tblStyle w:val="30"/>
        <w:tblW w:w="13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gridSpan w:val="3"/>
            <w:noWrap w:val="0"/>
          </w:tcPr>
          <w:p>
            <w:r>
              <w:t>玻璃幕墙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r>
              <w:t>玻璃幕墙透明部分尺寸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>
            <w:r>
              <w:t>玻璃幕墙可开启面积尺寸</w:t>
            </w:r>
          </w:p>
        </w:tc>
        <w:tc>
          <w:tcPr>
            <w:tcW w:w="1060" w:type="dxa"/>
            <w:noWrap w:val="0"/>
            <w:vAlign w:val="center"/>
          </w:tcPr>
          <w:p/>
        </w:tc>
        <w:tc>
          <w:tcPr>
            <w:tcW w:w="1980" w:type="dxa"/>
            <w:vMerge w:val="restart"/>
            <w:noWrap w:val="0"/>
            <w:vAlign w:val="center"/>
          </w:tcPr>
          <w:p>
            <w:r>
              <w:t>可开启面积比例(%)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类型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数量(个)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宽度(m)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高度(m)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面积(㎡)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幕墙插窗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宽度(m)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高度(m)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数量(个)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面积(㎡)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M005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6.44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17.27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5.67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15.18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11.35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30.42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16.37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16.37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16.37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5.75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15.41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16.37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5.89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15.78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6.34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16.99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5.66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15.17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6.45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17.29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5.88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15.77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6.26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16.77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5.78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15.48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16.70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5.89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15.78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16.53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6.12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16.40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6.22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18.01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18.01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18.00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18.02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5.78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17.34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5.44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14.58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5.78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15.49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16.37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6.33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16.96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16.37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5.59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14.98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16.37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16.37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16.37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6.45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19.36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6.43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17.24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5.66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15.17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5.77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15.46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16.37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5.78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15.49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16.69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5.89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15.78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6.12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16.40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6.34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16.99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6.24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16.71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6.23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3.00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18.68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未编号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框支撑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2.68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16.07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/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r>
              <w:t>合计</w:t>
            </w:r>
          </w:p>
        </w:tc>
        <w:tc>
          <w:tcPr>
            <w:tcW w:w="130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66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1097.35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—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60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980" w:type="dxa"/>
            <w:noWrap w:val="0"/>
            <w:vAlign w:val="center"/>
          </w:tcPr>
          <w:p>
            <w:r>
              <w:t>0.00</w:t>
            </w:r>
          </w:p>
        </w:tc>
      </w:tr>
      <w:bookmarkEnd w:id="23"/>
    </w:tbl>
    <w:p>
      <w:pPr>
        <w:widowControl w:val="0"/>
        <w:spacing w:line="240" w:lineRule="auto"/>
        <w:rPr>
          <w:sz w:val="21"/>
          <w:szCs w:val="24"/>
          <w:lang w:val="en-US"/>
        </w:rPr>
      </w:pPr>
      <w:bookmarkStart w:id="24" w:name="玻璃幕墙统计计算表"/>
      <w:bookmarkEnd w:id="24"/>
    </w:p>
    <w:p>
      <w:pPr>
        <w:widowControl w:val="0"/>
        <w:spacing w:line="240" w:lineRule="auto"/>
        <w:rPr>
          <w:sz w:val="21"/>
          <w:szCs w:val="24"/>
          <w:lang w:val="en-US"/>
        </w:rPr>
      </w:pPr>
    </w:p>
    <w:p>
      <w:pPr>
        <w:widowControl w:val="0"/>
        <w:spacing w:line="240" w:lineRule="auto"/>
        <w:rPr>
          <w:sz w:val="21"/>
          <w:szCs w:val="24"/>
          <w:lang w:val="en-US"/>
        </w:rPr>
        <w:sectPr>
          <w:headerReference r:id="rId7" w:type="default"/>
          <w:footerReference r:id="rId8" w:type="default"/>
          <w:pgSz w:w="16838" w:h="11906" w:orient="landscape"/>
          <w:pgMar w:top="1418" w:right="1440" w:bottom="1418" w:left="1440" w:header="851" w:footer="992" w:gutter="0"/>
          <w:cols w:space="425" w:num="1"/>
          <w:docGrid w:linePitch="360" w:charSpace="0"/>
        </w:sectPr>
      </w:pPr>
    </w:p>
    <w:p>
      <w:pPr>
        <w:pStyle w:val="2"/>
      </w:pPr>
      <w:bookmarkStart w:id="25" w:name="_Toc420663553"/>
      <w:r>
        <w:rPr>
          <w:rFonts w:hint="eastAsia"/>
        </w:rPr>
        <w:t>结论</w:t>
      </w:r>
      <w:bookmarkEnd w:id="25"/>
    </w:p>
    <w:p>
      <w:pPr>
        <w:pStyle w:val="3"/>
        <w:ind w:left="360" w:firstLine="0"/>
        <w:rPr>
          <w:rFonts w:ascii="宋体" w:hAnsi="宋体"/>
        </w:rPr>
      </w:pPr>
      <w:r>
        <w:rPr>
          <w:rFonts w:ascii="宋体" w:hAnsi="宋体"/>
          <w:sz w:val="21"/>
          <w:szCs w:val="21"/>
        </w:rPr>
        <w:t>梦土上---生态青年社区公寓设计</w:t>
      </w:r>
      <w:r>
        <w:rPr>
          <w:rFonts w:ascii="宋体" w:hAnsi="宋体"/>
        </w:rPr>
        <w:t>建筑外窗可开启面积比例为53.5%，玻璃幕墙可开启面积比例为0.0%，综合5.2.2中条款1、条款2和条款3的规定，该项</w:t>
      </w:r>
      <w:bookmarkStart w:id="27" w:name="_GoBack"/>
      <w:bookmarkEnd w:id="27"/>
      <w:r>
        <w:rPr>
          <w:rFonts w:ascii="宋体" w:hAnsi="宋体"/>
        </w:rPr>
        <w:t>目建筑的总得分为3.0分。</w:t>
      </w:r>
    </w:p>
    <w:p>
      <w:pPr>
        <w:pStyle w:val="3"/>
        <w:ind w:left="360" w:firstLine="0"/>
        <w:rPr>
          <w:rFonts w:ascii="宋体" w:hAnsi="宋体"/>
        </w:rPr>
      </w:pPr>
    </w:p>
    <w:p>
      <w:pPr>
        <w:pStyle w:val="3"/>
        <w:ind w:firstLine="0"/>
        <w:rPr>
          <w:rFonts w:ascii="宋体" w:hAnsi="宋体"/>
        </w:rPr>
      </w:pPr>
      <w:bookmarkStart w:id="26" w:name="门窗详图"/>
      <w:r>
        <w:rPr>
          <w:rFonts w:hint="eastAsia" w:ascii="宋体" w:hAnsi="宋体"/>
        </w:rPr>
        <w:t xml:space="preserve"> </w:t>
      </w:r>
      <w:bookmarkEnd w:id="26"/>
    </w:p>
    <w:p/>
    <w:p>
      <w:pPr>
        <w:pStyle w:val="2"/>
      </w:pPr>
      <w:r>
        <w:t>附录：门窗详图</w:t>
      </w:r>
    </w:p>
    <w:p>
      <w:r>
        <w:t>说明：红色线框表示窗洞，绿色线框表示开启扇。</w:t>
      </w:r>
    </w:p>
    <w:tbl>
      <w:tblPr>
        <w:tblStyle w:val="3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00"/>
        <w:gridCol w:w="2264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C1203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C1212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0.36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0.18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0.72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4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3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00"/>
        <w:gridCol w:w="2264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C1221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C1512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2.52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2.52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0.90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4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3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00"/>
        <w:gridCol w:w="2264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C1812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C2112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2.16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1.08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1.26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4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3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00"/>
        <w:gridCol w:w="2264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C2427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C2724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6.48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6.48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3.24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4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3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00"/>
        <w:gridCol w:w="2264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C2824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M0820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6.91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3.46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4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3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00"/>
        <w:gridCol w:w="2264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M0920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M1021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2.10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2.10</w:t>
            </w:r>
          </w:p>
        </w:tc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4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3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4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门窗编号</w:t>
            </w:r>
          </w:p>
        </w:tc>
        <w:tc>
          <w:tcPr>
            <w:tcW w:w="2399" w:type="dxa"/>
            <w:shd w:val="clear" w:color="FFFFFF" w:fill="FFFFFF"/>
            <w:noWrap w:val="0"/>
            <w:vAlign w:val="center"/>
          </w:tcPr>
          <w:p>
            <w:r>
              <w:t>M1221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门窗面积(㎡)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E6E6E6" w:fill="E6E6E6"/>
            <w:noWrap w:val="0"/>
            <w:vAlign w:val="center"/>
          </w:tcPr>
          <w:p>
            <w:r>
              <w:t>开启面积(㎡)</w:t>
            </w:r>
          </w:p>
        </w:tc>
        <w:tc>
          <w:tcPr>
            <w:tcW w:w="2399" w:type="dxa"/>
            <w:noWrap w:val="0"/>
            <w:vAlign w:val="center"/>
          </w:tcPr>
          <w:p>
            <w:r>
              <w:t>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0175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4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400175" cy="1400175"/>
                  <wp:effectExtent l="0" t="0" r="0" b="0"/>
                  <wp:docPr id="2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sectPr>
      <w:headerReference r:id="rId9" w:type="default"/>
      <w:footerReference r:id="rId10" w:type="default"/>
      <w:pgSz w:w="11906" w:h="16838"/>
      <w:pgMar w:top="1440" w:right="1418" w:bottom="1440" w:left="1418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1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  <w:noWrap w:val="0"/>
        </w:tcPr>
        <w:p>
          <w:pPr>
            <w:pStyle w:val="20"/>
            <w:rPr>
              <w:rFonts w:ascii="Calibri" w:hAnsi="Calibri" w:eastAsia="Calibri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\o "http://www.gbsware.cn/" </w:instrText>
          </w:r>
          <w:r>
            <w:fldChar w:fldCharType="separate"/>
          </w:r>
          <w:r>
            <w:rPr>
              <w:rStyle w:val="34"/>
              <w:rFonts w:ascii="Calibri" w:hAnsi="Calibri" w:eastAsia="Calibri"/>
              <w:sz w:val="20"/>
              <w:szCs w:val="21"/>
            </w:rPr>
            <w:t>http://www.gbsware.cn/</w:t>
          </w:r>
          <w:r>
            <w:rPr>
              <w:rStyle w:val="34"/>
              <w:rFonts w:ascii="Calibri" w:hAnsi="Calibri" w:eastAsia="Calibri"/>
              <w:sz w:val="20"/>
              <w:szCs w:val="21"/>
            </w:rPr>
            <w:fldChar w:fldCharType="end"/>
          </w:r>
        </w:p>
      </w:tc>
      <w:tc>
        <w:tcPr>
          <w:tcW w:w="3020" w:type="dxa"/>
          <w:noWrap w:val="0"/>
        </w:tcPr>
        <w:p>
          <w:pPr>
            <w:pStyle w:val="20"/>
            <w:jc w:val="center"/>
            <w:rPr>
              <w:rFonts w:ascii="Calibri" w:hAnsi="Calibri" w:eastAsia="Calibri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AutoText"/>
              </w:docPartObj>
            </w:sdtPr>
            <w:sdtEndPr>
              <w:rPr>
                <w:sz w:val="20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t>3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="Calibri" w:hAnsi="Calibri" w:eastAsia="Calibri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t>4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="Calibri" w:hAnsi="Calibri" w:eastAsia="Calibri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  <w:noWrap w:val="0"/>
        </w:tcPr>
        <w:p>
          <w:pPr>
            <w:pStyle w:val="20"/>
            <w:jc w:val="right"/>
            <w:rPr>
              <w:rFonts w:ascii="Calibri" w:hAnsi="Calibri" w:eastAsia="Calibri"/>
              <w:sz w:val="20"/>
              <w:szCs w:val="21"/>
            </w:rPr>
          </w:pPr>
          <w:r>
            <w:rPr>
              <w:rFonts w:hint="eastAsia" w:ascii="Calibri" w:hAnsi="Calibri" w:eastAsia="Calibri"/>
              <w:sz w:val="20"/>
              <w:szCs w:val="21"/>
            </w:rPr>
            <w:t>V</w:t>
          </w:r>
          <w:r>
            <w:rPr>
              <w:rFonts w:ascii="Calibri" w:hAnsi="Calibri" w:eastAsia="Calibri"/>
              <w:sz w:val="20"/>
              <w:szCs w:val="21"/>
            </w:rPr>
            <w:t>ENT2020</w:t>
          </w:r>
        </w:p>
      </w:tc>
    </w:tr>
  </w:tbl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1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725"/>
      <w:gridCol w:w="4726"/>
      <w:gridCol w:w="472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667" w:type="pct"/>
          <w:noWrap w:val="0"/>
        </w:tcPr>
        <w:p>
          <w:pPr>
            <w:pStyle w:val="20"/>
            <w:rPr>
              <w:rFonts w:ascii="Calibri" w:hAnsi="Calibri" w:eastAsia="Calibri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\o "http://www.gbsware.cn/" </w:instrText>
          </w:r>
          <w:r>
            <w:fldChar w:fldCharType="separate"/>
          </w:r>
          <w:r>
            <w:rPr>
              <w:rStyle w:val="34"/>
              <w:rFonts w:ascii="Calibri" w:hAnsi="Calibri" w:eastAsia="Calibri"/>
              <w:sz w:val="20"/>
              <w:szCs w:val="21"/>
            </w:rPr>
            <w:t>http://www.gbsware.cn/</w:t>
          </w:r>
          <w:r>
            <w:rPr>
              <w:rStyle w:val="34"/>
              <w:rFonts w:ascii="Calibri" w:hAnsi="Calibri" w:eastAsia="Calibri"/>
              <w:sz w:val="20"/>
              <w:szCs w:val="21"/>
            </w:rPr>
            <w:fldChar w:fldCharType="end"/>
          </w:r>
        </w:p>
      </w:tc>
      <w:tc>
        <w:tcPr>
          <w:tcW w:w="1667" w:type="pct"/>
          <w:noWrap w:val="0"/>
        </w:tcPr>
        <w:p>
          <w:pPr>
            <w:pStyle w:val="20"/>
            <w:jc w:val="center"/>
            <w:rPr>
              <w:rFonts w:ascii="Calibri" w:hAnsi="Calibri" w:eastAsia="Calibri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AutoText"/>
              </w:docPartObj>
            </w:sdtPr>
            <w:sdtEndPr>
              <w:rPr>
                <w:sz w:val="20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t>4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="Calibri" w:hAnsi="Calibri" w:eastAsia="Calibri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t>5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="Calibri" w:hAnsi="Calibri" w:eastAsia="Calibri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  <w:noWrap w:val="0"/>
        </w:tcPr>
        <w:p>
          <w:pPr>
            <w:pStyle w:val="20"/>
            <w:jc w:val="right"/>
            <w:rPr>
              <w:rFonts w:ascii="Calibri" w:hAnsi="Calibri" w:eastAsia="Calibri"/>
              <w:sz w:val="20"/>
              <w:szCs w:val="21"/>
            </w:rPr>
          </w:pPr>
          <w:r>
            <w:rPr>
              <w:rFonts w:hint="eastAsia" w:ascii="Calibri" w:hAnsi="Calibri" w:eastAsia="Calibri"/>
              <w:sz w:val="20"/>
              <w:szCs w:val="21"/>
            </w:rPr>
            <w:t>V</w:t>
          </w:r>
          <w:r>
            <w:rPr>
              <w:rFonts w:ascii="Calibri" w:hAnsi="Calibri" w:eastAsia="Calibri"/>
              <w:sz w:val="20"/>
              <w:szCs w:val="21"/>
            </w:rPr>
            <w:t>ENT2020</w:t>
          </w:r>
        </w:p>
      </w:tc>
    </w:tr>
  </w:tbl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1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96"/>
      <w:gridCol w:w="3096"/>
      <w:gridCol w:w="309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667" w:type="pct"/>
          <w:noWrap w:val="0"/>
        </w:tcPr>
        <w:p>
          <w:pPr>
            <w:pStyle w:val="20"/>
            <w:rPr>
              <w:rFonts w:ascii="Calibri" w:hAnsi="Calibri" w:eastAsia="Calibri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\o "http://www.gbsware.cn/" </w:instrText>
          </w:r>
          <w:r>
            <w:fldChar w:fldCharType="separate"/>
          </w:r>
          <w:r>
            <w:rPr>
              <w:rStyle w:val="34"/>
              <w:rFonts w:ascii="Calibri" w:hAnsi="Calibri" w:eastAsia="Calibri"/>
              <w:sz w:val="20"/>
              <w:szCs w:val="21"/>
            </w:rPr>
            <w:t>http://www.gbsware.cn/</w:t>
          </w:r>
          <w:r>
            <w:rPr>
              <w:rStyle w:val="34"/>
              <w:rFonts w:ascii="Calibri" w:hAnsi="Calibri" w:eastAsia="Calibri"/>
              <w:sz w:val="20"/>
              <w:szCs w:val="21"/>
            </w:rPr>
            <w:fldChar w:fldCharType="end"/>
          </w:r>
        </w:p>
      </w:tc>
      <w:tc>
        <w:tcPr>
          <w:tcW w:w="1667" w:type="pct"/>
          <w:noWrap w:val="0"/>
        </w:tcPr>
        <w:p>
          <w:pPr>
            <w:pStyle w:val="20"/>
            <w:jc w:val="center"/>
            <w:rPr>
              <w:rFonts w:ascii="Calibri" w:hAnsi="Calibri" w:eastAsia="Calibri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AutoText"/>
              </w:docPartObj>
            </w:sdtPr>
            <w:sdtEndPr>
              <w:rPr>
                <w:sz w:val="20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t>5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="Calibri" w:hAnsi="Calibri" w:eastAsia="Calibri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t>5</w:t>
              </w:r>
              <w:r>
                <w:rPr>
                  <w:rFonts w:ascii="Calibri" w:hAnsi="Calibri" w:eastAsia="Calibri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="Calibri" w:hAnsi="Calibri" w:eastAsia="Calibri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  <w:noWrap w:val="0"/>
        </w:tcPr>
        <w:p>
          <w:pPr>
            <w:pStyle w:val="20"/>
            <w:jc w:val="right"/>
            <w:rPr>
              <w:rFonts w:ascii="Calibri" w:hAnsi="Calibri" w:eastAsia="Calibri"/>
              <w:sz w:val="20"/>
              <w:szCs w:val="21"/>
            </w:rPr>
          </w:pPr>
          <w:r>
            <w:rPr>
              <w:rFonts w:hint="eastAsia" w:ascii="Calibri" w:hAnsi="Calibri" w:eastAsia="Calibri"/>
              <w:sz w:val="20"/>
              <w:szCs w:val="21"/>
            </w:rPr>
            <w:t>V</w:t>
          </w:r>
          <w:r>
            <w:rPr>
              <w:rFonts w:ascii="Calibri" w:hAnsi="Calibri" w:eastAsia="Calibri"/>
              <w:sz w:val="20"/>
              <w:szCs w:val="21"/>
            </w:rPr>
            <w:t>ENT2020</w:t>
          </w:r>
        </w:p>
      </w:tc>
    </w:tr>
  </w:tbl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28"/>
        <w:szCs w:val="28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Times New Roman" w:hAnsi="Times New Roman" w:eastAsia="宋体" w:cs="Times New Roman"/>
      <w:sz w:val="18"/>
      <w:lang w:val="en-GB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spacing w:line="400" w:lineRule="atLeast"/>
      <w:ind w:firstLine="200"/>
      <w:jc w:val="both"/>
    </w:pPr>
    <w:rPr>
      <w:rFonts w:ascii="Times New Roman" w:hAnsi="Times New Roman" w:eastAsia="宋体" w:cs="Times New Roman"/>
      <w:sz w:val="21"/>
      <w:szCs w:val="21"/>
      <w:lang w:val="en-GB"/>
    </w:rPr>
  </w:style>
  <w:style w:type="paragraph" w:styleId="1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Document Map"/>
    <w:basedOn w:val="1"/>
    <w:semiHidden/>
    <w:uiPriority w:val="0"/>
    <w:pPr>
      <w:shd w:val="clear" w:color="000080" w:fill="000080"/>
    </w:pPr>
  </w:style>
  <w:style w:type="paragraph" w:styleId="1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/>
    </w:pPr>
    <w:rPr>
      <w:sz w:val="21"/>
      <w:szCs w:val="24"/>
      <w:lang w:val="en-US"/>
    </w:rPr>
  </w:style>
  <w:style w:type="paragraph" w:styleId="17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Balloon Text"/>
    <w:basedOn w:val="1"/>
    <w:link w:val="184"/>
    <w:uiPriority w:val="0"/>
    <w:pPr>
      <w:spacing w:line="240" w:lineRule="auto"/>
    </w:pPr>
    <w:rPr>
      <w:sz w:val="18"/>
      <w:szCs w:val="18"/>
    </w:rPr>
  </w:style>
  <w:style w:type="paragraph" w:styleId="20">
    <w:name w:val="footer"/>
    <w:basedOn w:val="1"/>
    <w:link w:val="186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link w:val="18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2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sz w:val="21"/>
      <w:szCs w:val="24"/>
      <w:lang w:val="en-US"/>
    </w:rPr>
  </w:style>
  <w:style w:type="paragraph" w:styleId="23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4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5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2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sz w:val="21"/>
      <w:szCs w:val="24"/>
      <w:lang w:val="en-US"/>
    </w:rPr>
  </w:style>
  <w:style w:type="paragraph" w:styleId="28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9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uiPriority w:val="0"/>
    <w:pPr>
      <w:spacing w:line="360" w:lineRule="exact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endnote reference"/>
    <w:basedOn w:val="32"/>
    <w:semiHidden/>
    <w:unhideWhenUsed/>
    <w:uiPriority w:val="99"/>
    <w:rPr>
      <w:vertAlign w:val="superscript"/>
    </w:rPr>
  </w:style>
  <w:style w:type="character" w:styleId="34">
    <w:name w:val="Hyperlink"/>
    <w:uiPriority w:val="99"/>
    <w:rPr>
      <w:color w:val="0000FF"/>
      <w:u w:val="single"/>
    </w:rPr>
  </w:style>
  <w:style w:type="character" w:styleId="35">
    <w:name w:val="footnote reference"/>
    <w:basedOn w:val="32"/>
    <w:unhideWhenUsed/>
    <w:uiPriority w:val="99"/>
    <w:rPr>
      <w:vertAlign w:val="superscript"/>
    </w:rPr>
  </w:style>
  <w:style w:type="character" w:customStyle="1" w:styleId="36">
    <w:name w:val="Heading 1 Char"/>
    <w:basedOn w:val="3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32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32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32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32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32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32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32"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No Spacing"/>
    <w:qFormat/>
    <w:uiPriority w:val="1"/>
    <w:pPr>
      <w:spacing w:before="0" w:after="0" w:line="240" w:lineRule="auto"/>
    </w:pPr>
    <w:rPr>
      <w:rFonts w:ascii="Times New Roman" w:hAnsi="Times New Roman" w:eastAsia="宋体" w:cs="Times New Roman"/>
    </w:rPr>
  </w:style>
  <w:style w:type="character" w:customStyle="1" w:styleId="46">
    <w:name w:val="Title Char"/>
    <w:basedOn w:val="32"/>
    <w:link w:val="29"/>
    <w:uiPriority w:val="10"/>
    <w:rPr>
      <w:sz w:val="48"/>
      <w:szCs w:val="48"/>
    </w:rPr>
  </w:style>
  <w:style w:type="character" w:customStyle="1" w:styleId="47">
    <w:name w:val="Subtitle Char"/>
    <w:basedOn w:val="32"/>
    <w:link w:val="24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32"/>
    <w:uiPriority w:val="99"/>
  </w:style>
  <w:style w:type="character" w:customStyle="1" w:styleId="53">
    <w:name w:val="Footer Char"/>
    <w:basedOn w:val="32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30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30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7">
    <w:name w:val="Plain Table 2"/>
    <w:basedOn w:val="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30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Plain Table 4"/>
    <w:basedOn w:val="30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Plain Table 5"/>
    <w:basedOn w:val="30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1">
    <w:name w:val="Grid Table 1 Light"/>
    <w:basedOn w:val="30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30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3">
    <w:name w:val="Grid Table 1 Light - Accent 2"/>
    <w:basedOn w:val="30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30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30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30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7">
    <w:name w:val="Grid Table 1 Light - Accent 6"/>
    <w:basedOn w:val="30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Grid Table 2"/>
    <w:basedOn w:val="30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9">
    <w:name w:val="Grid Table 2 - Accent 1"/>
    <w:basedOn w:val="30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70">
    <w:name w:val="Grid Table 2 - Accent 2"/>
    <w:basedOn w:val="30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1">
    <w:name w:val="Grid Table 2 - Accent 3"/>
    <w:basedOn w:val="30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2">
    <w:name w:val="Grid Table 2 - Accent 4"/>
    <w:basedOn w:val="30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3">
    <w:name w:val="Grid Table 2 - Accent 5"/>
    <w:basedOn w:val="30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74">
    <w:name w:val="Grid Table 2 - Accent 6"/>
    <w:basedOn w:val="30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5">
    <w:name w:val="Grid Table 3"/>
    <w:basedOn w:val="30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6">
    <w:name w:val="Grid Table 3 - Accent 1"/>
    <w:basedOn w:val="30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77">
    <w:name w:val="Grid Table 3 - Accent 2"/>
    <w:basedOn w:val="30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8">
    <w:name w:val="Grid Table 3 - Accent 3"/>
    <w:basedOn w:val="30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9">
    <w:name w:val="Grid Table 3 - Accent 4"/>
    <w:basedOn w:val="30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0">
    <w:name w:val="Grid Table 3 - Accent 5"/>
    <w:basedOn w:val="30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1">
    <w:name w:val="Grid Table 3 - Accent 6"/>
    <w:basedOn w:val="30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2">
    <w:name w:val="Grid Table 4"/>
    <w:basedOn w:val="30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3">
    <w:name w:val="Grid Table 4 - Accent 1"/>
    <w:basedOn w:val="30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FFFFFF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</w:style>
  <w:style w:type="table" w:customStyle="1" w:styleId="84">
    <w:name w:val="Grid Table 4 - Accent 2"/>
    <w:basedOn w:val="30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5">
    <w:name w:val="Grid Table 4 - Accent 3"/>
    <w:basedOn w:val="30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6">
    <w:name w:val="Grid Table 4 - Accent 4"/>
    <w:basedOn w:val="30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7">
    <w:name w:val="Grid Table 4 - Accent 5"/>
    <w:basedOn w:val="30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8">
    <w:name w:val="Grid Table 4 - Accent 6"/>
    <w:basedOn w:val="30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9">
    <w:name w:val="Grid Table 5 Dark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0">
    <w:name w:val="Grid Table 5 Dark- Accent 1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band1Vert">
      <w:tcPr>
        <w:shd w:val="clear" w:color="FFFFFF" w:fill="B3D1EB" w:themeFill="accent1" w:themeFillTint="75"/>
      </w:tcPr>
    </w:tblStylePr>
    <w:tblStylePr w:type="band1Horz">
      <w:tcPr>
        <w:shd w:val="clear" w:color="FFFFFF" w:fill="B3D1EB" w:themeFill="accent1" w:themeFillTint="75"/>
      </w:tcPr>
    </w:tblStylePr>
  </w:style>
  <w:style w:type="table" w:customStyle="1" w:styleId="91">
    <w:name w:val="Grid Table 5 Dark - Accent 2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2">
    <w:name w:val="Grid Table 5 Dark - Accent 3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3">
    <w:name w:val="Grid Table 5 Dark- Accent 4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4">
    <w:name w:val="Grid Table 5 Dark - Accent 5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band1Vert">
      <w:tcPr>
        <w:shd w:val="clear" w:color="FFFFFF" w:fill="A9BEE3" w:themeFill="accent5" w:themeFillTint="75"/>
      </w:tcPr>
    </w:tblStylePr>
    <w:tblStylePr w:type="band1Horz">
      <w:tcPr>
        <w:shd w:val="clear" w:color="FFFFFF" w:fill="A9BEE3" w:themeFill="accent5" w:themeFillTint="75"/>
      </w:tcPr>
    </w:tblStylePr>
  </w:style>
  <w:style w:type="table" w:customStyle="1" w:styleId="95">
    <w:name w:val="Grid Table 5 Dark - Accent 6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6">
    <w:name w:val="Grid Table 6 Colorful"/>
    <w:basedOn w:val="30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30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30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30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30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30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6 Colorful - Accent 6"/>
    <w:basedOn w:val="30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"/>
    <w:basedOn w:val="30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30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30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30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30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30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7 Colorful - Accent 6"/>
    <w:basedOn w:val="30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0">
    <w:name w:val="List Table 1 Light"/>
    <w:basedOn w:val="30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1">
    <w:name w:val="List Table 1 Light - Accent 1"/>
    <w:basedOn w:val="30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tcPr>
        <w:shd w:val="clear" w:color="FFFFFF" w:fill="D5E5F4" w:themeFill="accent1" w:themeFillTint="40"/>
      </w:tcPr>
    </w:tblStylePr>
  </w:style>
  <w:style w:type="table" w:customStyle="1" w:styleId="112">
    <w:name w:val="List Table 1 Light - Accent 2"/>
    <w:basedOn w:val="30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3">
    <w:name w:val="List Table 1 Light - Accent 3"/>
    <w:basedOn w:val="30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4">
    <w:name w:val="List Table 1 Light - Accent 4"/>
    <w:basedOn w:val="30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5">
    <w:name w:val="List Table 1 Light - Accent 5"/>
    <w:basedOn w:val="30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tcPr>
        <w:shd w:val="clear" w:color="FFFFFF" w:fill="D0DBF0" w:themeFill="accent5" w:themeFillTint="40"/>
      </w:tcPr>
    </w:tblStylePr>
  </w:style>
  <w:style w:type="table" w:customStyle="1" w:styleId="116">
    <w:name w:val="List Table 1 Light - Accent 6"/>
    <w:basedOn w:val="30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17">
    <w:name w:val="List Table 2"/>
    <w:basedOn w:val="30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8">
    <w:name w:val="List Table 2 - Accent 1"/>
    <w:basedOn w:val="30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19">
    <w:name w:val="List Table 2 - Accent 2"/>
    <w:basedOn w:val="30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20">
    <w:name w:val="List Table 2 - Accent 3"/>
    <w:basedOn w:val="30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1">
    <w:name w:val="List Table 2 - Accent 4"/>
    <w:basedOn w:val="30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2">
    <w:name w:val="List Table 2 - Accent 5"/>
    <w:basedOn w:val="30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23">
    <w:name w:val="List Table 2 - Accent 6"/>
    <w:basedOn w:val="30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4">
    <w:name w:val="List Table 3"/>
    <w:basedOn w:val="30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30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6">
    <w:name w:val="List Table 3 - Accent 2"/>
    <w:basedOn w:val="30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30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30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30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0">
    <w:name w:val="List Table 3 - Accent 6"/>
    <w:basedOn w:val="30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List Table 4"/>
    <w:basedOn w:val="30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2">
    <w:name w:val="List Table 4 - Accent 1"/>
    <w:basedOn w:val="30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33">
    <w:name w:val="List Table 4 - Accent 2"/>
    <w:basedOn w:val="30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4">
    <w:name w:val="List Table 4 - Accent 3"/>
    <w:basedOn w:val="30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5">
    <w:name w:val="List Table 4 - Accent 4"/>
    <w:basedOn w:val="30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6">
    <w:name w:val="List Table 4 - Accent 5"/>
    <w:basedOn w:val="30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37">
    <w:name w:val="List Table 4 - Accent 6"/>
    <w:basedOn w:val="30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38">
    <w:name w:val="List Table 5 Dark"/>
    <w:basedOn w:val="30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9">
    <w:name w:val="List Table 5 Dark - Accent 1"/>
    <w:basedOn w:val="30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140">
    <w:name w:val="List Table 5 Dark - Accent 2"/>
    <w:basedOn w:val="30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1">
    <w:name w:val="List Table 5 Dark - Accent 3"/>
    <w:basedOn w:val="30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2">
    <w:name w:val="List Table 5 Dark - Accent 4"/>
    <w:basedOn w:val="30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3">
    <w:name w:val="List Table 5 Dark - Accent 5"/>
    <w:basedOn w:val="30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FFFFFF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</w:style>
  <w:style w:type="table" w:customStyle="1" w:styleId="144">
    <w:name w:val="List Table 5 Dark - Accent 6"/>
    <w:basedOn w:val="30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5">
    <w:name w:val="List Table 6 Colorful"/>
    <w:basedOn w:val="30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30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7">
    <w:name w:val="List Table 6 Colorful - Accent 2"/>
    <w:basedOn w:val="30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30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30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30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30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30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30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4">
    <w:name w:val="List Table 7 Colorful - Accent 2"/>
    <w:basedOn w:val="30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30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30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30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30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30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0">
    <w:name w:val="Lined - Accent 1"/>
    <w:basedOn w:val="30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1">
    <w:name w:val="Lined - Accent 2"/>
    <w:basedOn w:val="30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2">
    <w:name w:val="Lined - Accent 3"/>
    <w:basedOn w:val="30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3">
    <w:name w:val="Lined - Accent 4"/>
    <w:basedOn w:val="30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4">
    <w:name w:val="Lined - Accent 5"/>
    <w:basedOn w:val="30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65">
    <w:name w:val="Lined - Accent 6"/>
    <w:basedOn w:val="30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6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7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8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9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70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1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72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3">
    <w:name w:val="Bordered"/>
    <w:basedOn w:val="30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30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5">
    <w:name w:val="Bordered - Accent 2"/>
    <w:basedOn w:val="30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30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30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30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9">
    <w:name w:val="Bordered - Accent 6"/>
    <w:basedOn w:val="30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Footnote Text Char"/>
    <w:link w:val="25"/>
    <w:uiPriority w:val="99"/>
    <w:rPr>
      <w:sz w:val="18"/>
    </w:rPr>
  </w:style>
  <w:style w:type="character" w:customStyle="1" w:styleId="181">
    <w:name w:val="Endnote Text Char"/>
    <w:link w:val="18"/>
    <w:uiPriority w:val="99"/>
    <w:rPr>
      <w:sz w:val="20"/>
    </w:rPr>
  </w:style>
  <w:style w:type="paragraph" w:styleId="182">
    <w:name w:val="List Paragraph"/>
    <w:basedOn w:val="1"/>
    <w:qFormat/>
    <w:uiPriority w:val="34"/>
    <w:pPr>
      <w:widowControl w:val="0"/>
      <w:spacing w:line="240" w:lineRule="auto"/>
      <w:ind w:firstLine="420"/>
      <w:jc w:val="both"/>
    </w:pPr>
    <w:rPr>
      <w:rFonts w:ascii="Calibri" w:hAnsi="Calibri"/>
      <w:sz w:val="21"/>
      <w:szCs w:val="22"/>
      <w:lang w:val="en-US"/>
    </w:rPr>
  </w:style>
  <w:style w:type="paragraph" w:customStyle="1" w:styleId="183">
    <w:name w:val="TOC Heading"/>
    <w:basedOn w:val="2"/>
    <w:next w:val="1"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</w:rPr>
  </w:style>
  <w:style w:type="character" w:customStyle="1" w:styleId="184">
    <w:name w:val="批注框文本 Char"/>
    <w:link w:val="19"/>
    <w:uiPriority w:val="0"/>
    <w:rPr>
      <w:sz w:val="18"/>
      <w:szCs w:val="18"/>
      <w:lang w:val="en-GB"/>
    </w:rPr>
  </w:style>
  <w:style w:type="character" w:styleId="185">
    <w:name w:val="Placeholder Text"/>
    <w:semiHidden/>
    <w:uiPriority w:val="99"/>
    <w:rPr>
      <w:color w:val="808080"/>
    </w:rPr>
  </w:style>
  <w:style w:type="character" w:customStyle="1" w:styleId="186">
    <w:name w:val="页脚 Char"/>
    <w:link w:val="20"/>
    <w:uiPriority w:val="99"/>
    <w:rPr>
      <w:sz w:val="18"/>
      <w:szCs w:val="18"/>
      <w:lang w:val="en-GB"/>
    </w:rPr>
  </w:style>
  <w:style w:type="character" w:customStyle="1" w:styleId="187">
    <w:name w:val="页眉 Char"/>
    <w:link w:val="21"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5.wmf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footnotes" Target="footnotes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image" Target="media/image8.wmf"/><Relationship Id="rId17" Type="http://schemas.openxmlformats.org/officeDocument/2006/relationships/image" Target="media/image7.wmf"/><Relationship Id="rId16" Type="http://schemas.openxmlformats.org/officeDocument/2006/relationships/image" Target="media/image6.wmf"/><Relationship Id="rId15" Type="http://schemas.openxmlformats.org/officeDocument/2006/relationships/image" Target="media/image5.wmf"/><Relationship Id="rId14" Type="http://schemas.openxmlformats.org/officeDocument/2006/relationships/image" Target="media/image4.wmf"/><Relationship Id="rId13" Type="http://schemas.openxmlformats.org/officeDocument/2006/relationships/image" Target="media/image3.wmf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Company>ths</Company>
  <TotalTime>0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2022-01-03T14:04:00Z</dcterms:created>
  <dc:creator>viola'computer</dc:creator>
  <cp:lastModifiedBy>Wang Chaonan</cp:lastModifiedBy>
  <dcterms:modified xsi:type="dcterms:W3CDTF">2022-01-05T10:38:03Z</dcterms:modified>
  <dc:title>建筑可开启面积比例计算书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  <property fmtid="{D5CDD505-2E9C-101B-9397-08002B2CF9AE}" pid="4" name="KSOProductBuildVer">
    <vt:lpwstr>2052-11.1.0.11194</vt:lpwstr>
  </property>
  <property fmtid="{D5CDD505-2E9C-101B-9397-08002B2CF9AE}" pid="5" name="ICV">
    <vt:lpwstr>2789F661E7CE4C0CA50E9CC18E834C11</vt:lpwstr>
  </property>
</Properties>
</file>