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宋体" w:eastAsia="黑体"/>
          <w:b/>
          <w:bCs/>
          <w:sz w:val="72"/>
          <w:szCs w:val="72"/>
          <w:lang w:val="en-GB"/>
        </w:rPr>
      </w:pPr>
      <w:r>
        <w:rPr>
          <w:rFonts w:ascii="黑体" w:hAnsi="宋体" w:eastAsia="黑体"/>
          <w:b/>
          <w:bCs/>
          <w:sz w:val="72"/>
          <w:szCs w:val="72"/>
          <w:lang w:val="en-GB"/>
        </w:rPr>
      </w:r>
      <w:r/>
    </w:p>
    <w:p>
      <w:pPr>
        <w:ind w:firstLine="354"/>
        <w:rPr>
          <w:rFonts w:ascii="黑体" w:hAnsi="宋体" w:eastAsia="黑体"/>
          <w:b/>
          <w:bCs/>
          <w:sz w:val="72"/>
          <w:szCs w:val="72"/>
          <w:lang w:val="en-GB"/>
        </w:rPr>
      </w:pPr>
      <w:r>
        <w:rPr>
          <w:rFonts w:ascii="黑体" w:hAnsi="宋体" w:eastAsia="黑体" w:hint="eastAsia"/>
          <w:b/>
          <w:bCs/>
          <w:sz w:val="72"/>
          <w:szCs w:val="72"/>
          <w:lang w:val="en-GB"/>
        </w:rPr>
        <w:t xml:space="preserve">室内</w:t>
      </w:r>
      <w:r>
        <w:rPr>
          <w:rFonts w:ascii="黑体" w:hAnsi="宋体" w:eastAsia="黑体" w:hint="eastAsia"/>
          <w:b/>
          <w:bCs/>
          <w:sz w:val="72"/>
          <w:szCs w:val="72"/>
          <w:lang w:val="en-GB"/>
        </w:rPr>
        <w:t xml:space="preserve">可吸入颗粒物</w:t>
      </w:r>
      <w:r>
        <w:rPr>
          <w:rFonts w:ascii="黑体" w:hAnsi="宋体" w:eastAsia="黑体" w:hint="eastAsia"/>
          <w:b/>
          <w:bCs/>
          <w:sz w:val="72"/>
          <w:szCs w:val="72"/>
          <w:lang w:val="en-GB"/>
        </w:rPr>
        <w:t xml:space="preserve">浓度</w:t>
      </w:r>
      <w:r/>
    </w:p>
    <w:p>
      <w:pPr>
        <w:ind w:firstLine="354"/>
        <w:jc w:val="center"/>
        <w:rPr>
          <w:rFonts w:ascii="黑体" w:hAnsi="宋体" w:eastAsia="黑体"/>
          <w:b/>
          <w:bCs/>
          <w:sz w:val="72"/>
          <w:szCs w:val="72"/>
          <w:lang w:val="en-GB"/>
        </w:rPr>
      </w:pPr>
      <w:r>
        <w:rPr>
          <w:rFonts w:ascii="黑体" w:hAnsi="宋体" w:eastAsia="黑体" w:hint="eastAsia"/>
          <w:b/>
          <w:bCs/>
          <w:sz w:val="72"/>
          <w:szCs w:val="72"/>
          <w:lang w:val="en-GB"/>
        </w:rPr>
        <w:t xml:space="preserve">报告书</w:t>
      </w:r>
      <w:r/>
    </w:p>
    <w:p>
      <w:pPr>
        <w:jc w:val="center"/>
        <w:rPr>
          <w:b/>
          <w:sz w:val="52"/>
          <w:szCs w:val="21"/>
        </w:rPr>
      </w:pPr>
      <w:r>
        <w:rPr>
          <w:b/>
          <w:sz w:val="52"/>
          <w:szCs w:val="21"/>
        </w:rPr>
      </w:r>
      <w:r/>
    </w:p>
    <w:tbl>
      <w:tblPr>
        <w:tblW w:w="0" w:type="auto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>
        <w:trPr>
          <w:jc w:val="center"/>
        </w:trPr>
        <w:tc>
          <w:tcPr>
            <w:shd w:val="clear" w:fill="E6E6E6" w:color="E6E6E6"/>
            <w:tcBorders>
              <w:top w:val="single" w:sz="12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pStyle w:val="609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 w:eastAsia="宋体"/>
                <w:b/>
                <w:bCs/>
                <w:sz w:val="21"/>
                <w:szCs w:val="21"/>
              </w:rPr>
              <w:pBdr>
                <w:bottom w:val="none" w:sz="0" w:space="0" w:color="auto"/>
              </w:pBd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项目名称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pStyle w:val="611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/>
            <w:bookmarkStart w:id="0" w:name="项目名称"/>
            <w:r/>
            <w:bookmarkEnd w:id="0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工程地点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/>
            <w:bookmarkStart w:id="1" w:name="项目地点"/>
            <w:r>
              <w:rPr>
                <w:rFonts w:ascii="宋体" w:hAnsi="宋体" w:eastAsia="宋体"/>
              </w:rPr>
              <w:t xml:space="preserve">宜昌</w:t>
            </w:r>
            <w:bookmarkEnd w:id="1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设计编号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/>
            <w:bookmarkStart w:id="2" w:name="设计编号"/>
            <w:r/>
            <w:bookmarkEnd w:id="2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建设单位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/>
            <w:bookmarkStart w:id="3" w:name="建设单位"/>
            <w:r/>
            <w:bookmarkEnd w:id="3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设计单位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/>
            <w:bookmarkStart w:id="4" w:name="设计单位"/>
            <w:r/>
            <w:bookmarkEnd w:id="4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设 计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校 对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审 核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审 定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12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hint="eastAsia"/>
                <w:b/>
                <w:bCs/>
                <w:sz w:val="21"/>
                <w:szCs w:val="21"/>
              </w:rPr>
              <w:t xml:space="preserve">设计日期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/>
            <w:bookmarkStart w:id="5" w:name="报告日期"/>
            <w:r>
              <w:rPr>
                <w:rFonts w:ascii="宋体" w:hAnsi="宋体" w:eastAsia="宋体" w:hint="eastAsia"/>
                <w:sz w:val="21"/>
                <w:szCs w:val="21"/>
              </w:rPr>
              <w:t xml:space="preserve">2022年01月03日</w:t>
            </w:r>
            <w:bookmarkEnd w:id="5"/>
            <w:r/>
            <w:r/>
          </w:p>
        </w:tc>
      </w:tr>
    </w:tbl>
    <w:p>
      <w:pPr>
        <w:jc w:val="center"/>
        <w:rPr>
          <w:rFonts w:ascii="宋体" w:hAnsi="宋体" w:eastAsia="宋体"/>
          <w:b/>
          <w:sz w:val="56"/>
        </w:rPr>
      </w:pPr>
      <w:r/>
      <w:bookmarkStart w:id="6" w:name="二维码"/>
      <w:r/>
      <w:bookmarkEnd w:id="6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14634" cy="1514634"/>
                <wp:effectExtent l="0" t="0" r="0" b="0"/>
                <wp:docPr id="3" name="图片 26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4634" cy="1514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19.3pt;height:119.3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center"/>
        <w:rPr>
          <w:b/>
          <w:sz w:val="56"/>
        </w:rPr>
      </w:pPr>
      <w:r>
        <w:rPr>
          <w:b/>
          <w:sz w:val="56"/>
        </w:rPr>
      </w:r>
      <w:r/>
    </w:p>
    <w:tbl>
      <w:tblPr>
        <w:tblpPr w:horzAnchor="text" w:tblpXSpec="center" w:vertAnchor="text" w:tblpY="1" w:leftFromText="180" w:topFromText="0" w:rightFromText="180" w:bottomFromText="0"/>
        <w:tblW w:w="0" w:type="auto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>
        <w:trPr>
          <w:cantSplit/>
          <w:trHeight w:val="340" w:hRule="exact"/>
        </w:trPr>
        <w:tc>
          <w:tcPr>
            <w:shd w:val="clear" w:fill="E6E6E6" w:color="E6E6E6"/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 w:eastAsia="宋体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eastAsia="宋体" w:hint="eastAsia"/>
                <w:sz w:val="18"/>
                <w:szCs w:val="18"/>
                <w:lang w:val="en-GB"/>
              </w:rPr>
              <w:t xml:space="preserve">采用软件</w:t>
            </w:r>
            <w:r/>
          </w:p>
        </w:tc>
        <w:tc>
          <w:tcPr>
            <w:shd w:val="clear" w:color="auto" w:fill="auto"/>
            <w:tcW w:w="378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 w:eastAsia="宋体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eastAsia="宋体" w:hint="eastAsia"/>
                <w:sz w:val="18"/>
                <w:szCs w:val="18"/>
                <w:lang w:val="en-GB"/>
              </w:rPr>
              <w:t xml:space="preserve">绿建斯维尔</w:t>
            </w:r>
            <w:bookmarkStart w:id="7" w:name="采用软件"/>
            <w:r>
              <w:rPr>
                <w:rFonts w:ascii="宋体" w:hAnsi="宋体" w:cs="Times New Roman" w:eastAsia="宋体" w:hint="eastAsia"/>
                <w:sz w:val="18"/>
                <w:szCs w:val="18"/>
                <w:lang w:val="en-GB"/>
              </w:rPr>
              <w:t xml:space="preserve">建筑通风Vent2020</w:t>
            </w:r>
            <w:bookmarkEnd w:id="7"/>
            <w:r/>
            <w:r/>
          </w:p>
        </w:tc>
      </w:tr>
      <w:tr>
        <w:trPr>
          <w:cantSplit/>
          <w:trHeight w:val="340"/>
        </w:trPr>
        <w:tc>
          <w:tcPr>
            <w:shd w:val="clear" w:fill="E6E6E6" w:color="E6E6E6"/>
            <w:tcBorders>
              <w:bottom w:val="single" w:sz="4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 w:eastAsia="宋体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eastAsia="宋体" w:hint="eastAsia"/>
                <w:sz w:val="18"/>
                <w:szCs w:val="18"/>
                <w:lang w:val="en-GB"/>
              </w:rPr>
              <w:t xml:space="preserve">软件版本</w:t>
            </w:r>
            <w:r/>
          </w:p>
        </w:tc>
        <w:tc>
          <w:tcPr>
            <w:tcBorders>
              <w:bottom w:val="single" w:sz="4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 w:eastAsia="宋体"/>
                <w:sz w:val="21"/>
                <w:szCs w:val="21"/>
                <w:lang w:val="en-GB"/>
              </w:rPr>
            </w:pPr>
            <w:r/>
            <w:bookmarkStart w:id="8" w:name="软件版本"/>
            <w:r>
              <w:rPr>
                <w:rFonts w:ascii="宋体" w:hAnsi="宋体" w:cs="Times New Roman" w:eastAsia="宋体"/>
                <w:sz w:val="21"/>
                <w:szCs w:val="21"/>
                <w:lang w:val="en-GB"/>
              </w:rPr>
              <w:t xml:space="preserve">20200606</w:t>
            </w:r>
            <w:bookmarkEnd w:id="8"/>
            <w:r/>
            <w:r/>
          </w:p>
        </w:tc>
      </w:tr>
      <w:tr>
        <w:trPr>
          <w:cantSplit/>
          <w:trHeight w:val="405"/>
        </w:trPr>
        <w:tc>
          <w:tcPr>
            <w:shd w:val="clear" w:fill="E6E6E6" w:color="E6E6E6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 w:eastAsia="宋体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eastAsia="宋体" w:hint="eastAsia"/>
                <w:sz w:val="18"/>
                <w:szCs w:val="18"/>
                <w:lang w:val="en-GB"/>
              </w:rPr>
              <w:t xml:space="preserve">研发单位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 w:eastAsia="宋体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eastAsia="宋体"/>
                <w:sz w:val="18"/>
                <w:szCs w:val="18"/>
                <w:lang w:val="en-GB"/>
              </w:rPr>
              <w:t xml:space="preserve">北京绿建软件</w:t>
            </w:r>
            <w:r>
              <w:rPr>
                <w:rFonts w:ascii="宋体" w:hAnsi="宋体" w:cs="Times New Roman" w:eastAsia="宋体" w:hint="eastAsia"/>
                <w:sz w:val="18"/>
                <w:szCs w:val="18"/>
                <w:lang w:val="en-GB"/>
              </w:rPr>
              <w:t xml:space="preserve">股份</w:t>
            </w:r>
            <w:r>
              <w:rPr>
                <w:rFonts w:ascii="宋体" w:hAnsi="宋体" w:cs="Times New Roman" w:eastAsia="宋体"/>
                <w:sz w:val="18"/>
                <w:szCs w:val="18"/>
                <w:lang w:val="en-GB"/>
              </w:rPr>
              <w:t xml:space="preserve">有限公司</w:t>
            </w:r>
            <w:r/>
          </w:p>
        </w:tc>
      </w:tr>
      <w:tr>
        <w:trPr>
          <w:cantSplit/>
          <w:trHeight w:val="285"/>
        </w:trPr>
        <w:tc>
          <w:tcPr>
            <w:shd w:val="clear" w:fill="E6E6E6" w:color="E6E6E6"/>
            <w:tcBorders>
              <w:top w:val="single" w:sz="4" w:space="0" w:color="auto"/>
              <w:right w:val="single" w:sz="4" w:space="0" w:color="auto"/>
              <w:bottom w:val="single" w:sz="12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 w:eastAsia="宋体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eastAsia="宋体" w:hint="eastAsia"/>
                <w:sz w:val="18"/>
                <w:szCs w:val="18"/>
                <w:lang w:val="en-GB"/>
              </w:rPr>
              <w:t xml:space="preserve">正版授权码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12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rPr>
                <w:rFonts w:ascii="宋体" w:hAnsi="宋体"/>
                <w:sz w:val="18"/>
                <w:szCs w:val="18"/>
              </w:rPr>
            </w:pPr>
            <w:r/>
            <w:bookmarkStart w:id="9" w:name="加密锁号"/>
            <w:r>
              <w:t xml:space="preserve">T19971523316</w:t>
            </w:r>
            <w:bookmarkEnd w:id="9"/>
            <w:r/>
            <w:r/>
          </w:p>
        </w:tc>
      </w:tr>
    </w:tbl>
    <w:p>
      <w:pPr>
        <w:jc w:val="center"/>
        <w:rPr>
          <w:b/>
          <w:sz w:val="56"/>
        </w:rPr>
      </w:pPr>
      <w:r>
        <w:rPr>
          <w:b/>
          <w:sz w:val="56"/>
        </w:rPr>
      </w:r>
      <w:r/>
    </w:p>
    <w:p>
      <w:pPr>
        <w:tabs>
          <w:tab w:val="left" w:pos="1052" w:leader="none"/>
        </w:tabs>
      </w:pPr>
      <w:r/>
      <w:r/>
    </w:p>
    <w:p>
      <w:pPr>
        <w:spacing w:lineRule="atLeast" w:line="240"/>
        <w:widowControl/>
      </w:pPr>
      <w:r>
        <w:br w:type="page"/>
      </w:r>
      <w:r/>
    </w:p>
    <w:p>
      <w:r/>
      <w:r/>
    </w:p>
    <w:p>
      <w:pPr>
        <w:pStyle w:val="624"/>
        <w:ind w:right="821"/>
        <w:jc w:val="center"/>
        <w:rPr>
          <w:rFonts w:ascii="黑体" w:hAnsi="黑体" w:eastAsia="黑体"/>
          <w:color w:val="auto"/>
          <w:sz w:val="32"/>
        </w:rPr>
      </w:pPr>
      <w:r>
        <w:rPr>
          <w:rFonts w:ascii="黑体" w:hAnsi="黑体" w:eastAsia="黑体"/>
          <w:color w:val="auto"/>
          <w:sz w:val="32"/>
          <w:lang w:val="zh-CN" w:eastAsia="zh-CN"/>
        </w:rPr>
        <w:t xml:space="preserve">目录</w:t>
      </w:r>
      <w:r/>
    </w:p>
    <w:p>
      <w:pPr>
        <w:pStyle w:val="626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bookmarkStart w:id="10" w:name="目录"/>
      <w:r>
        <w:rPr>
          <w:rFonts w:ascii="Calibri" w:hAnsi="Calibri"/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rFonts w:ascii="Calibri" w:hAnsi="Calibri"/>
          <w:caps/>
          <w:sz w:val="36"/>
          <w:szCs w:val="20"/>
        </w:rPr>
        <w:fldChar w:fldCharType="separate"/>
      </w:r>
      <w:hyperlink w:tooltip="#_Toc92096766" w:anchor="_Toc92096766" w:history="1">
        <w:r>
          <w:rPr>
            <w:rStyle w:val="623"/>
            <w:rFonts w:ascii="黑体" w:hAnsi="黑体" w:eastAsia="黑体"/>
          </w:rPr>
          <w:t xml:space="preserve">1.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  <w:rFonts w:ascii="黑体" w:hAnsi="黑体" w:eastAsia="黑体"/>
          </w:rPr>
          <w:t xml:space="preserve">项目概况</w:t>
        </w:r>
        <w:r>
          <w:tab/>
        </w:r>
        <w:r>
          <w:fldChar w:fldCharType="begin"/>
        </w:r>
        <w:r>
          <w:instrText xml:space="preserve"> PAGEREF _Toc92096766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627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67" w:anchor="_Toc92096767" w:history="1">
        <w:r>
          <w:rPr>
            <w:rStyle w:val="623"/>
          </w:rPr>
          <w:t xml:space="preserve">1.1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</w:rPr>
          <w:t xml:space="preserve">建筑基本信息</w:t>
        </w:r>
        <w:r>
          <w:tab/>
        </w:r>
        <w:r>
          <w:fldChar w:fldCharType="begin"/>
        </w:r>
        <w:r>
          <w:instrText xml:space="preserve"> PAGEREF _Toc92096767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627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68" w:anchor="_Toc92096768" w:history="1">
        <w:r>
          <w:rPr>
            <w:rStyle w:val="623"/>
          </w:rPr>
          <w:t xml:space="preserve">1.2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</w:rPr>
          <w:t xml:space="preserve">建筑平面图</w:t>
        </w:r>
        <w:r>
          <w:tab/>
        </w:r>
        <w:r>
          <w:fldChar w:fldCharType="begin"/>
        </w:r>
        <w:r>
          <w:instrText xml:space="preserve"> PAGEREF _Toc92096768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627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69" w:anchor="_Toc92096769" w:history="1">
        <w:r>
          <w:rPr>
            <w:rStyle w:val="623"/>
          </w:rPr>
          <w:t xml:space="preserve">1.3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</w:rPr>
          <w:t xml:space="preserve">建筑三维轴测图</w:t>
        </w:r>
        <w:r>
          <w:tab/>
        </w:r>
        <w:r>
          <w:fldChar w:fldCharType="begin"/>
        </w:r>
        <w:r>
          <w:instrText xml:space="preserve"> PAGEREF _Toc92096769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26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70" w:anchor="_Toc92096770" w:history="1">
        <w:r>
          <w:rPr>
            <w:rStyle w:val="623"/>
            <w:rFonts w:ascii="黑体" w:hAnsi="黑体" w:eastAsia="黑体"/>
          </w:rPr>
          <w:t xml:space="preserve">2.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  <w:rFonts w:ascii="黑体" w:hAnsi="黑体" w:eastAsia="黑体"/>
          </w:rPr>
          <w:t xml:space="preserve">参考标准</w:t>
        </w:r>
        <w:r>
          <w:tab/>
        </w:r>
        <w:r>
          <w:fldChar w:fldCharType="begin"/>
        </w:r>
        <w:r>
          <w:instrText xml:space="preserve"> PAGEREF _Toc92096770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26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71" w:anchor="_Toc92096771" w:history="1">
        <w:r>
          <w:rPr>
            <w:rStyle w:val="623"/>
            <w:rFonts w:ascii="黑体" w:hAnsi="黑体" w:eastAsia="黑体"/>
          </w:rPr>
          <w:t xml:space="preserve">3.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  <w:rFonts w:ascii="黑体" w:hAnsi="黑体" w:eastAsia="黑体"/>
          </w:rPr>
          <w:t xml:space="preserve">评价标准</w:t>
        </w:r>
        <w:r>
          <w:tab/>
        </w:r>
        <w:r>
          <w:fldChar w:fldCharType="begin"/>
        </w:r>
        <w:r>
          <w:instrText xml:space="preserve"> PAGEREF _Toc92096771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26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72" w:anchor="_Toc92096772" w:history="1">
        <w:r>
          <w:rPr>
            <w:rStyle w:val="623"/>
            <w:rFonts w:ascii="黑体" w:hAnsi="黑体" w:eastAsia="黑体"/>
          </w:rPr>
          <w:t xml:space="preserve">4.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  <w:rFonts w:ascii="黑体" w:hAnsi="黑体" w:eastAsia="黑体"/>
          </w:rPr>
          <w:t xml:space="preserve">计算原理</w:t>
        </w:r>
        <w:r>
          <w:tab/>
        </w:r>
        <w:r>
          <w:fldChar w:fldCharType="begin"/>
        </w:r>
        <w:r>
          <w:instrText xml:space="preserve"> PAGEREF _Toc92096772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26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73" w:anchor="_Toc92096773" w:history="1">
        <w:r>
          <w:rPr>
            <w:rStyle w:val="623"/>
            <w:rFonts w:ascii="黑体" w:hAnsi="黑体" w:eastAsia="黑体"/>
          </w:rPr>
          <w:t xml:space="preserve">5.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  <w:rFonts w:ascii="黑体" w:hAnsi="黑体" w:eastAsia="黑体"/>
          </w:rPr>
          <w:t xml:space="preserve">计算参数</w:t>
        </w:r>
        <w:r>
          <w:tab/>
        </w:r>
        <w:r>
          <w:fldChar w:fldCharType="begin"/>
        </w:r>
        <w:r>
          <w:instrText xml:space="preserve"> PAGEREF _Toc92096773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27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79" w:anchor="_Toc92096779" w:history="1">
        <w:r>
          <w:rPr>
            <w:rStyle w:val="623"/>
          </w:rPr>
          <w:t xml:space="preserve">5.1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</w:rPr>
          <w:t xml:space="preserve">渗透风量</w:t>
        </w:r>
        <w:r>
          <w:tab/>
        </w:r>
        <w:r>
          <w:fldChar w:fldCharType="begin"/>
        </w:r>
        <w:r>
          <w:instrText xml:space="preserve"> PAGEREF _Toc92096779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27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80" w:anchor="_Toc92096780" w:history="1">
        <w:r>
          <w:rPr>
            <w:rStyle w:val="623"/>
          </w:rPr>
          <w:t xml:space="preserve">5.2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</w:rPr>
          <w:t xml:space="preserve">室内颗粒物源强</w:t>
        </w:r>
        <w:r>
          <w:tab/>
        </w:r>
        <w:r>
          <w:fldChar w:fldCharType="begin"/>
        </w:r>
        <w:r>
          <w:instrText xml:space="preserve"> PAGEREF _Toc92096780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627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81" w:anchor="_Toc92096781" w:history="1">
        <w:r>
          <w:rPr>
            <w:rStyle w:val="623"/>
          </w:rPr>
          <w:t xml:space="preserve">5.3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</w:rPr>
          <w:t xml:space="preserve">室外颗粒物污染源浓度</w:t>
        </w:r>
        <w:r>
          <w:tab/>
        </w:r>
        <w:r>
          <w:fldChar w:fldCharType="begin"/>
        </w:r>
        <w:r>
          <w:instrText xml:space="preserve"> PAGEREF _Toc92096781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627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82" w:anchor="_Toc92096782" w:history="1">
        <w:r>
          <w:rPr>
            <w:rStyle w:val="623"/>
          </w:rPr>
          <w:t xml:space="preserve">5.4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</w:rPr>
          <w:t xml:space="preserve">房间通风净化</w:t>
        </w:r>
        <w:r>
          <w:tab/>
        </w:r>
        <w:r>
          <w:fldChar w:fldCharType="begin"/>
        </w:r>
        <w:r>
          <w:instrText xml:space="preserve"> PAGEREF _Toc92096782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626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83" w:anchor="_Toc92096783" w:history="1">
        <w:r>
          <w:rPr>
            <w:rStyle w:val="623"/>
            <w:rFonts w:ascii="黑体" w:hAnsi="黑体" w:eastAsia="黑体"/>
          </w:rPr>
          <w:t xml:space="preserve">6.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  <w:rFonts w:ascii="黑体" w:hAnsi="黑体" w:eastAsia="黑体"/>
          </w:rPr>
          <w:t xml:space="preserve">计算结果</w:t>
        </w:r>
        <w:r>
          <w:tab/>
        </w:r>
        <w:r>
          <w:fldChar w:fldCharType="begin"/>
        </w:r>
        <w:r>
          <w:instrText xml:space="preserve"> PAGEREF _Toc92096783 \h </w:instrText>
        </w:r>
        <w:r/>
        <w:r>
          <w:fldChar w:fldCharType="separate"/>
        </w:r>
        <w:r>
          <w:t xml:space="preserve">10</w:t>
        </w:r>
        <w:r>
          <w:fldChar w:fldCharType="end"/>
        </w:r>
      </w:hyperlink>
      <w:r/>
      <w:r/>
    </w:p>
    <w:p>
      <w:pPr>
        <w:pStyle w:val="626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6784" w:anchor="_Toc92096784" w:history="1">
        <w:r>
          <w:rPr>
            <w:rStyle w:val="623"/>
            <w:rFonts w:ascii="黑体" w:hAnsi="黑体" w:eastAsia="黑体"/>
          </w:rPr>
          <w:t xml:space="preserve">7.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23"/>
            <w:rFonts w:ascii="黑体" w:hAnsi="黑体" w:eastAsia="黑体"/>
          </w:rPr>
          <w:t xml:space="preserve">结论</w:t>
        </w:r>
        <w:r>
          <w:tab/>
        </w:r>
        <w:r>
          <w:fldChar w:fldCharType="begin"/>
        </w:r>
        <w:r>
          <w:instrText xml:space="preserve"> PAGEREF _Toc92096784 \h </w:instrText>
        </w:r>
        <w:r/>
        <w:r>
          <w:fldChar w:fldCharType="separate"/>
        </w:r>
        <w:r>
          <w:t xml:space="preserve">16</w:t>
        </w:r>
        <w:r>
          <w:fldChar w:fldCharType="end"/>
        </w:r>
      </w:hyperlink>
      <w:r/>
      <w:r/>
    </w:p>
    <w:p>
      <w:pPr>
        <w:jc w:val="center"/>
        <w:spacing w:lineRule="auto" w:line="360"/>
        <w:rPr>
          <w:sz w:val="32"/>
        </w:rPr>
        <w:sectPr>
          <w:headerReference w:type="default" r:id="rId9"/>
          <w:headerReference w:type="even" r:id="rId10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7" w:h="16839" w:orient="portrait"/>
          <w:pgMar w:top="1440" w:right="1800" w:bottom="1440" w:left="1800" w:header="851" w:footer="170" w:gutter="397"/>
          <w:cols w:num="1" w:sep="0" w:space="720" w:equalWidth="1"/>
          <w:docGrid w:linePitch="360"/>
          <w:titlePg/>
        </w:sectPr>
      </w:pPr>
      <w:r>
        <w:rPr>
          <w:b/>
          <w:bCs/>
          <w:sz w:val="40"/>
          <w:lang w:val="zh-CN"/>
        </w:rPr>
        <w:fldChar w:fldCharType="end"/>
      </w:r>
      <w:bookmarkEnd w:id="10"/>
      <w:r/>
      <w:r/>
    </w:p>
    <w:p>
      <w:pPr>
        <w:spacing w:before="156"/>
      </w:pPr>
      <w:r/>
      <w:r/>
    </w:p>
    <w:p>
      <w:pPr>
        <w:pStyle w:val="597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eastAsia="黑体"/>
          <w:sz w:val="28"/>
          <w:szCs w:val="28"/>
        </w:rPr>
      </w:pPr>
      <w:r/>
      <w:bookmarkStart w:id="11" w:name="_Toc92096766"/>
      <w:r>
        <w:rPr>
          <w:rFonts w:ascii="黑体" w:hAnsi="黑体" w:eastAsia="黑体" w:hint="eastAsia"/>
          <w:sz w:val="28"/>
          <w:szCs w:val="28"/>
        </w:rPr>
        <w:t xml:space="preserve">项目概况</w:t>
      </w:r>
      <w:bookmarkEnd w:id="11"/>
      <w:r/>
      <w:r/>
    </w:p>
    <w:p>
      <w:pPr>
        <w:pStyle w:val="598"/>
        <w:rPr>
          <w:sz w:val="24"/>
          <w:szCs w:val="24"/>
        </w:rPr>
      </w:pPr>
      <w:r/>
      <w:bookmarkStart w:id="12" w:name="_Toc92096767"/>
      <w:r>
        <w:rPr>
          <w:rFonts w:hint="eastAsia"/>
          <w:sz w:val="24"/>
          <w:szCs w:val="24"/>
        </w:rPr>
        <w:t xml:space="preserve">建筑基本信息</w:t>
      </w:r>
      <w:bookmarkEnd w:id="12"/>
      <w:r/>
      <w:r/>
    </w:p>
    <w:tbl>
      <w:tblPr>
        <w:tblW w:w="7649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>
        <w:trPr>
          <w:jc w:val="center"/>
          <w:trHeight w:val="300"/>
        </w:trPr>
        <w:tc>
          <w:tcPr>
            <w:shd w:val="clear" w:fill="BFBFBF" w:color="BFBFBF" w:themeFill="background1" w:themeFillShade="BF"/>
            <w:tcW w:w="1413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 w:hint="eastAsia"/>
                <w:b/>
                <w:bCs/>
                <w:color w:val="000000"/>
                <w:sz w:val="19"/>
                <w:szCs w:val="19"/>
              </w:rPr>
              <w:t xml:space="preserve">建筑用</w:t>
            </w:r>
            <w:r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  <w:t xml:space="preserve">途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color w:val="000000"/>
                <w:sz w:val="19"/>
                <w:szCs w:val="19"/>
              </w:rPr>
              <w:t xml:space="preserve"> </w:t>
            </w:r>
            <w:r/>
          </w:p>
        </w:tc>
        <w:tc>
          <w:tcPr>
            <w:shd w:val="clear" w:fill="BFBFBF" w:color="BFBFBF" w:themeFill="background1" w:themeFillShade="BF"/>
            <w:tcW w:w="1134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  <w:t xml:space="preserve">地区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color w:val="000000"/>
                <w:sz w:val="19"/>
                <w:szCs w:val="19"/>
              </w:rPr>
              <w:t xml:space="preserve"> </w:t>
            </w:r>
            <w:r/>
          </w:p>
        </w:tc>
      </w:tr>
      <w:tr>
        <w:trPr>
          <w:jc w:val="center"/>
          <w:trHeight w:val="300"/>
        </w:trPr>
        <w:tc>
          <w:tcPr>
            <w:shd w:val="clear" w:fill="BFBFBF" w:color="BFBFBF" w:themeFill="background1" w:themeFillShade="BF"/>
            <w:tcW w:w="1413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  <w:t xml:space="preserve">建筑面积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color w:val="000000"/>
                <w:sz w:val="19"/>
                <w:szCs w:val="19"/>
              </w:rPr>
              <w:t xml:space="preserve"> </w:t>
            </w:r>
            <w:r/>
          </w:p>
        </w:tc>
        <w:tc>
          <w:tcPr>
            <w:shd w:val="clear" w:fill="BFBFBF" w:color="BFBFBF" w:themeFill="background1" w:themeFillShade="BF"/>
            <w:tcW w:w="1134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  <w:t xml:space="preserve">层高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color w:val="000000"/>
                <w:sz w:val="19"/>
                <w:szCs w:val="19"/>
              </w:rPr>
              <w:t xml:space="preserve"> </w:t>
            </w:r>
            <w:r/>
          </w:p>
        </w:tc>
      </w:tr>
      <w:tr>
        <w:trPr>
          <w:jc w:val="center"/>
          <w:trHeight w:val="300"/>
        </w:trPr>
        <w:tc>
          <w:tcPr>
            <w:shd w:val="clear" w:fill="BFBFBF" w:color="BFBFBF" w:themeFill="background1" w:themeFillShade="BF"/>
            <w:tcW w:w="1413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  <w:t xml:space="preserve">项目周期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color w:val="000000"/>
                <w:sz w:val="19"/>
                <w:szCs w:val="19"/>
              </w:rPr>
              <w:t xml:space="preserve"> </w:t>
            </w:r>
            <w:r/>
          </w:p>
        </w:tc>
        <w:tc>
          <w:tcPr>
            <w:shd w:val="clear" w:fill="BFBFBF" w:color="BFBFBF" w:themeFill="background1" w:themeFillShade="BF"/>
            <w:tcW w:w="1134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b/>
                <w:bCs/>
                <w:color w:val="000000"/>
                <w:sz w:val="19"/>
                <w:szCs w:val="19"/>
              </w:rPr>
              <w:t xml:space="preserve">交付状态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宋体" w:hAnsi="宋体" w:cs="新宋体" w:eastAsia="宋体"/>
                <w:color w:val="000000"/>
                <w:sz w:val="19"/>
                <w:szCs w:val="19"/>
              </w:rPr>
            </w:pPr>
            <w:r>
              <w:rPr>
                <w:rFonts w:ascii="宋体" w:hAnsi="宋体" w:cs="新宋体" w:eastAsia="宋体"/>
                <w:color w:val="000000"/>
                <w:sz w:val="19"/>
                <w:szCs w:val="19"/>
              </w:rPr>
              <w:t xml:space="preserve"> </w:t>
            </w:r>
            <w:r/>
          </w:p>
        </w:tc>
      </w:tr>
    </w:tbl>
    <w:p>
      <w:pPr>
        <w:pStyle w:val="598"/>
        <w:rPr>
          <w:sz w:val="24"/>
          <w:szCs w:val="24"/>
        </w:rPr>
      </w:pPr>
      <w:r/>
      <w:bookmarkStart w:id="13" w:name="_Toc92096768"/>
      <w:r>
        <w:rPr>
          <w:rFonts w:hint="eastAsia"/>
          <w:sz w:val="24"/>
          <w:szCs w:val="24"/>
        </w:rPr>
        <w:t xml:space="preserve">建筑</w:t>
      </w:r>
      <w:r>
        <w:rPr>
          <w:rFonts w:hint="eastAsia"/>
          <w:sz w:val="24"/>
          <w:szCs w:val="24"/>
          <w:lang w:eastAsia="zh-CN"/>
        </w:rPr>
        <w:t xml:space="preserve">平面</w:t>
      </w:r>
      <w:r>
        <w:rPr>
          <w:rFonts w:hint="eastAsia"/>
          <w:sz w:val="24"/>
          <w:szCs w:val="24"/>
        </w:rPr>
        <w:t xml:space="preserve">图</w:t>
      </w:r>
      <w:bookmarkEnd w:id="13"/>
      <w:r/>
      <w:r/>
    </w:p>
    <w:p>
      <w:pPr>
        <w:rPr>
          <w:highlight w:val="red"/>
        </w:rPr>
      </w:pPr>
      <w:r>
        <w:rPr>
          <w:highlight w:val="red"/>
        </w:rPr>
      </w:r>
      <w:r/>
    </w:p>
    <w:p>
      <w:pPr>
        <w:jc w:val="center"/>
      </w:pPr>
      <w:r/>
      <w:r/>
    </w:p>
    <w:p>
      <w:pPr>
        <w:jc w:val="center"/>
        <w:rPr>
          <w:rFonts w:ascii="微软雅黑" w:hAnsi="微软雅黑" w:eastAsia="微软雅黑"/>
          <w:b/>
          <w:sz w:val="18"/>
        </w:rPr>
      </w:pPr>
      <w:r/>
      <w:bookmarkStart w:id="14" w:name="平面图"/>
      <w:r/>
      <w:bookmarkEnd w:id="14"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1162050"/>
                <wp:effectExtent l="0" t="0" r="0" b="0"/>
                <wp:docPr id="4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667374" cy="1162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46.3pt;height:91.5pt;" stroked="false">
                <v:path textboxrect="0,0,0,0"/>
                <v:imagedata r:id="rId16" o:title=""/>
              </v:shape>
            </w:pict>
          </mc:Fallback>
        </mc:AlternateContent>
      </w:r>
      <w:r/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 xml:space="preserve">1</w:t>
      </w:r>
      <w:r>
        <w:rPr>
          <w:rFonts w:ascii="微软雅黑" w:hAnsi="微软雅黑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809625"/>
                <wp:effectExtent l="0" t="0" r="0" b="0"/>
                <wp:docPr id="5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667374" cy="809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46.3pt;height:63.8pt;" stroked="false">
                <v:path textboxrect="0,0,0,0"/>
                <v:imagedata r:id="rId17" o:title=""/>
              </v:shape>
            </w:pict>
          </mc:Fallback>
        </mc:AlternateContent>
      </w:r>
      <w:r/>
      <w:r/>
      <w:r/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 xml:space="preserve">2</w:t>
      </w:r>
      <w:r>
        <w:rPr>
          <w:rFonts w:ascii="微软雅黑" w:hAnsi="微软雅黑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742950"/>
                <wp:effectExtent l="0" t="0" r="0" b="0"/>
                <wp:docPr id="6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667374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46.3pt;height:58.5pt;" stroked="false">
                <v:path textboxrect="0,0,0,0"/>
                <v:imagedata r:id="rId18" o:title=""/>
              </v:shape>
            </w:pict>
          </mc:Fallback>
        </mc:AlternateContent>
      </w:r>
      <w:r/>
      <w:r/>
      <w:r/>
      <w:r/>
      <w:r/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 xml:space="preserve">3</w:t>
      </w:r>
      <w:r>
        <w:rPr>
          <w:rFonts w:ascii="微软雅黑" w:hAnsi="微软雅黑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819150"/>
                <wp:effectExtent l="0" t="0" r="0" b="0"/>
                <wp:docPr id="7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667374" cy="819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46.3pt;height:64.5pt;" stroked="false">
                <v:path textboxrect="0,0,0,0"/>
                <v:imagedata r:id="rId19" o:title=""/>
              </v:shape>
            </w:pict>
          </mc:Fallback>
        </mc:AlternateContent>
      </w:r>
      <w:r/>
      <w:r/>
      <w:r/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 xml:space="preserve">4</w:t>
      </w:r>
      <w:r>
        <w:rPr>
          <w:rFonts w:ascii="微软雅黑" w:hAnsi="微软雅黑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742950"/>
                <wp:effectExtent l="0" t="0" r="0" b="0"/>
                <wp:docPr id="8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667374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46.3pt;height:58.5pt;" stroked="false">
                <v:path textboxrect="0,0,0,0"/>
                <v:imagedata r:id="rId20" o:title=""/>
              </v:shape>
            </w:pict>
          </mc:Fallback>
        </mc:AlternateContent>
      </w:r>
      <w:r/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 xml:space="preserve">5</w:t>
      </w:r>
      <w:r>
        <w:rPr>
          <w:rFonts w:ascii="微软雅黑" w:hAnsi="微软雅黑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</w:r>
      <w:r/>
    </w:p>
    <w:p>
      <w:pPr>
        <w:jc w:val="center"/>
      </w:pPr>
      <w:r/>
      <w:r/>
    </w:p>
    <w:p>
      <w:pPr>
        <w:pStyle w:val="598"/>
        <w:rPr>
          <w:rFonts w:ascii="Times New Roman" w:hAnsi="Times New Roman"/>
          <w:sz w:val="24"/>
          <w:szCs w:val="24"/>
        </w:rPr>
      </w:pPr>
      <w:r/>
      <w:bookmarkStart w:id="15" w:name="_Toc92096769"/>
      <w:r>
        <w:rPr>
          <w:rFonts w:hint="eastAsia"/>
          <w:sz w:val="24"/>
          <w:szCs w:val="24"/>
        </w:rPr>
        <w:t xml:space="preserve">建筑</w:t>
      </w:r>
      <w:r>
        <w:rPr>
          <w:rFonts w:hint="eastAsia"/>
          <w:sz w:val="24"/>
          <w:szCs w:val="24"/>
        </w:rPr>
        <w:t xml:space="preserve">三维轴测图</w:t>
      </w:r>
      <w:bookmarkEnd w:id="15"/>
      <w:r/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629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>
        <w:trPr/>
        <w:tc>
          <w:tcPr>
            <w:tcW w:w="8277" w:type="dxa"/>
            <w:textDirection w:val="lrTb"/>
            <w:noWrap w:val="false"/>
          </w:tcPr>
          <w:p>
            <w:pPr>
              <w:jc w:val="center"/>
              <w:rPr>
                <w:rFonts w:ascii="微软雅黑" w:hAnsi="微软雅黑" w:cs="Times New Roman" w:eastAsia="微软雅黑"/>
                <w:b/>
                <w:sz w:val="18"/>
                <w:szCs w:val="18"/>
              </w:rPr>
            </w:pPr>
            <w:r/>
            <w:bookmarkStart w:id="16" w:name="三维视图"/>
            <w:r/>
            <w:bookmarkEnd w:id="16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81600" cy="2609850"/>
                      <wp:effectExtent l="0" t="0" r="0" b="0"/>
                      <wp:docPr id="9" name="图片 32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81600" cy="2609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408.0pt;height:205.5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81600" cy="2609850"/>
                      <wp:effectExtent l="0" t="0" r="0" b="0"/>
                      <wp:docPr id="10" name="图片 33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81600" cy="2609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408.0pt;height:205.5pt;" stroked="false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597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eastAsia="黑体"/>
          <w:sz w:val="28"/>
          <w:szCs w:val="28"/>
        </w:rPr>
      </w:pPr>
      <w:r/>
      <w:bookmarkStart w:id="17" w:name="_Toc92096770"/>
      <w:r>
        <w:rPr>
          <w:rFonts w:ascii="黑体" w:hAnsi="黑体" w:eastAsia="黑体" w:hint="eastAsia"/>
          <w:sz w:val="28"/>
          <w:szCs w:val="28"/>
        </w:rPr>
        <w:t xml:space="preserve">参考标准</w:t>
      </w:r>
      <w:bookmarkEnd w:id="17"/>
      <w:r/>
      <w:r/>
    </w:p>
    <w:p>
      <w:pPr>
        <w:pStyle w:val="625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《绿色建筑评价标准》</w:t>
      </w:r>
      <w:r>
        <w:rPr>
          <w:rFonts w:ascii="Times New Roman" w:hAnsi="Times New Roman"/>
        </w:rPr>
        <w:t xml:space="preserve">GB50378-2019</w:t>
      </w:r>
      <w:r/>
    </w:p>
    <w:p>
      <w:pPr>
        <w:pStyle w:val="625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《公共建筑室内空气质量控制设计标准》</w:t>
      </w:r>
      <w:r>
        <w:rPr>
          <w:rFonts w:ascii="Times New Roman" w:hAnsi="Times New Roman"/>
        </w:rPr>
        <w:t xml:space="preserve">JGJ/T 461</w:t>
      </w:r>
      <w:r/>
    </w:p>
    <w:p>
      <w:pPr>
        <w:pStyle w:val="625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《室内空气质量标准》</w:t>
      </w:r>
      <w:r>
        <w:rPr>
          <w:rFonts w:ascii="Times New Roman" w:hAnsi="Times New Roman"/>
        </w:rPr>
        <w:t xml:space="preserve">GB/T 18883</w:t>
      </w:r>
      <w:r/>
    </w:p>
    <w:p>
      <w:pPr>
        <w:pStyle w:val="625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《建筑外门窗气密、水密、抗风压性能分级及检测方法》</w:t>
      </w:r>
      <w:r>
        <w:rPr>
          <w:rFonts w:ascii="Times New Roman" w:hAnsi="Times New Roman"/>
        </w:rPr>
        <w:t xml:space="preserve">GB/T 7106</w:t>
      </w:r>
      <w:r/>
    </w:p>
    <w:p>
      <w:pPr>
        <w:pStyle w:val="625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《民用建筑工程室内环境污染控制规范》</w:t>
      </w:r>
      <w:r>
        <w:rPr>
          <w:rFonts w:ascii="Times New Roman" w:hAnsi="Times New Roman"/>
        </w:rPr>
        <w:t xml:space="preserve">GB 50325</w:t>
      </w:r>
      <w:r/>
    </w:p>
    <w:p>
      <w:pPr>
        <w:pStyle w:val="625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《民用建筑供暖通风与空气调节设计规范》</w:t>
      </w:r>
      <w:r>
        <w:rPr>
          <w:rFonts w:ascii="Times New Roman" w:hAnsi="Times New Roman"/>
        </w:rPr>
        <w:t xml:space="preserve">GB50736</w:t>
      </w:r>
      <w:r/>
    </w:p>
    <w:p>
      <w:pPr>
        <w:pStyle w:val="625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《环境空气质量指数（</w:t>
      </w:r>
      <w:r>
        <w:rPr>
          <w:rFonts w:ascii="Times New Roman" w:hAnsi="Times New Roman"/>
        </w:rPr>
        <w:t xml:space="preserve">AQI</w:t>
      </w:r>
      <w:r>
        <w:rPr>
          <w:rFonts w:ascii="Times New Roman" w:hAnsi="Times New Roman"/>
        </w:rPr>
        <w:t xml:space="preserve">）技术规定》</w:t>
      </w:r>
      <w:r>
        <w:rPr>
          <w:rFonts w:ascii="Times New Roman" w:hAnsi="Times New Roman"/>
        </w:rPr>
        <w:t xml:space="preserve">HJ 633</w:t>
      </w:r>
      <w:r/>
    </w:p>
    <w:p>
      <w:r/>
      <w:r/>
    </w:p>
    <w:p>
      <w:pPr>
        <w:pStyle w:val="597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eastAsia="黑体"/>
          <w:sz w:val="28"/>
          <w:szCs w:val="28"/>
        </w:rPr>
      </w:pPr>
      <w:r/>
      <w:bookmarkStart w:id="18" w:name="_Toc92096771"/>
      <w:r>
        <w:rPr>
          <w:rFonts w:ascii="黑体" w:hAnsi="黑体" w:eastAsia="黑体" w:hint="eastAsia"/>
          <w:sz w:val="28"/>
          <w:szCs w:val="28"/>
        </w:rPr>
        <w:t xml:space="preserve">评价标准</w:t>
      </w:r>
      <w:bookmarkEnd w:id="18"/>
      <w:r/>
      <w:r/>
    </w:p>
    <w:p>
      <w:pPr>
        <w:ind w:firstLine="420"/>
        <w:spacing w:before="156"/>
        <w:rPr>
          <w:rFonts w:ascii="宋体" w:hAnsi="宋体" w:cs="新宋体" w:eastAsia="宋体"/>
          <w:color w:val="000000"/>
          <w:sz w:val="21"/>
          <w:szCs w:val="21"/>
        </w:rPr>
      </w:pP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本项目</w:t>
      </w:r>
      <w:r>
        <w:rPr>
          <w:rFonts w:ascii="宋体" w:hAnsi="宋体" w:cs="新宋体" w:eastAsia="宋体"/>
          <w:color w:val="000000"/>
          <w:sz w:val="21"/>
          <w:szCs w:val="21"/>
        </w:rPr>
        <w:t xml:space="preserve">主要</w:t>
      </w: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依据</w:t>
      </w:r>
      <w:r>
        <w:rPr>
          <w:rFonts w:ascii="宋体" w:hAnsi="宋体" w:cs="新宋体" w:eastAsia="宋体"/>
          <w:color w:val="000000"/>
          <w:sz w:val="21"/>
          <w:szCs w:val="21"/>
        </w:rPr>
        <w:t xml:space="preserve">《</w:t>
      </w: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绿色建筑评价</w:t>
      </w:r>
      <w:r>
        <w:rPr>
          <w:rFonts w:ascii="宋体" w:hAnsi="宋体" w:cs="新宋体" w:eastAsia="宋体"/>
          <w:color w:val="000000"/>
          <w:sz w:val="21"/>
          <w:szCs w:val="21"/>
        </w:rPr>
        <w:t xml:space="preserve">标准》</w:t>
      </w: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，对室内</w:t>
      </w:r>
      <w:r>
        <w:rPr>
          <w:rFonts w:ascii="宋体" w:hAnsi="宋体" w:cs="新宋体" w:eastAsia="宋体"/>
          <w:color w:val="000000"/>
          <w:sz w:val="21"/>
          <w:szCs w:val="21"/>
        </w:rPr>
        <w:t xml:space="preserve">颗粒物</w:t>
      </w: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浓度</w:t>
      </w:r>
      <w:r>
        <w:rPr>
          <w:rFonts w:ascii="宋体" w:hAnsi="宋体" w:cs="新宋体" w:eastAsia="宋体"/>
          <w:color w:val="000000"/>
          <w:sz w:val="21"/>
          <w:szCs w:val="21"/>
        </w:rPr>
        <w:t xml:space="preserve">进行计算及评估</w:t>
      </w: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，</w:t>
      </w: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具体</w:t>
      </w:r>
      <w:r>
        <w:rPr>
          <w:rFonts w:ascii="宋体" w:hAnsi="宋体" w:cs="新宋体" w:eastAsia="宋体" w:hint="eastAsia"/>
          <w:color w:val="000000"/>
          <w:sz w:val="21"/>
          <w:szCs w:val="21"/>
        </w:rPr>
        <w:t xml:space="preserve">标准</w:t>
      </w:r>
      <w:r>
        <w:rPr>
          <w:rFonts w:ascii="宋体" w:hAnsi="宋体" w:cs="新宋体" w:eastAsia="宋体"/>
          <w:color w:val="000000"/>
          <w:sz w:val="21"/>
          <w:szCs w:val="21"/>
        </w:rPr>
        <w:t xml:space="preserve">条款如下：</w:t>
      </w:r>
      <w:r/>
    </w:p>
    <w:tbl>
      <w:tblPr>
        <w:tblW w:w="8641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>
        <w:trPr>
          <w:jc w:val="center"/>
          <w:trHeight w:val="567"/>
        </w:trPr>
        <w:tc>
          <w:tcPr>
            <w:shd w:val="clear" w:fill="D0CECE" w:color="D0CECE"/>
            <w:tcW w:w="1101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新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检查项</w:t>
            </w:r>
            <w:r/>
          </w:p>
        </w:tc>
        <w:tc>
          <w:tcPr>
            <w:shd w:val="clear" w:fill="D0CECE" w:color="D0CECE"/>
            <w:tcW w:w="7540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新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评价依据</w:t>
            </w:r>
            <w:r/>
          </w:p>
        </w:tc>
      </w:tr>
      <w:tr>
        <w:trPr>
          <w:jc w:val="center"/>
          <w:trHeight w:val="183"/>
        </w:trPr>
        <w:tc>
          <w:tcPr>
            <w:shd w:val="clear" w:fill="D0CECE" w:color="D0CECE"/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等线" w:hAnsi="等线" w:cs="Times New Roman"/>
                <w:color w:val="000000"/>
                <w:sz w:val="20"/>
                <w:szCs w:val="19"/>
              </w:rPr>
            </w:pPr>
            <w:r>
              <w:rPr>
                <w:rFonts w:ascii="等线" w:hAnsi="等线" w:cs="Times New Roman"/>
                <w:color w:val="000000"/>
                <w:sz w:val="20"/>
                <w:szCs w:val="19"/>
              </w:rPr>
              <w:t xml:space="preserve">技术要求</w:t>
            </w:r>
            <w:r/>
          </w:p>
          <w:p>
            <w:pPr>
              <w:jc w:val="center"/>
              <w:rPr>
                <w:rFonts w:ascii="等线" w:hAnsi="等线" w:cs="Times New Roman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/>
                <w:color w:val="000000"/>
                <w:sz w:val="20"/>
                <w:szCs w:val="19"/>
              </w:rPr>
              <w:t xml:space="preserve">3.2.8</w:t>
            </w:r>
            <w:r/>
          </w:p>
        </w:tc>
        <w:tc>
          <w:tcPr>
            <w:tcW w:w="754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等线" w:hAnsi="等线" w:cs="Times New Roman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3.2.8室内空气中的氨、甲醛、苯、总挥发性有机物、氡、</w:t>
            </w:r>
            <w:r>
              <w:rPr>
                <w:rFonts w:ascii="等线" w:hAnsi="等线" w:cs="Times New Roman"/>
                <w:b/>
                <w:bCs/>
                <w:color w:val="000000"/>
                <w:sz w:val="19"/>
                <w:szCs w:val="19"/>
              </w:rPr>
              <w:t xml:space="preserve">可吸入颗粒物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等主要污染物浓度</w:t>
            </w:r>
            <w:r>
              <w:rPr>
                <w:rFonts w:ascii="等线" w:hAnsi="等线" w:cs="Times New Roman" w:hint="eastAsia"/>
                <w:color w:val="000000"/>
                <w:sz w:val="19"/>
                <w:szCs w:val="19"/>
              </w:rPr>
              <w:t xml:space="preserve">比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《室内空气质量标准》GB/T 18883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降低比例，达到10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%为一星级要求；达到20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%为二星级和三星级要求。</w:t>
            </w:r>
            <w:r/>
          </w:p>
        </w:tc>
      </w:tr>
      <w:tr>
        <w:trPr>
          <w:jc w:val="center"/>
          <w:trHeight w:val="183"/>
        </w:trPr>
        <w:tc>
          <w:tcPr>
            <w:shd w:val="clear" w:fill="D0CECE" w:color="D0CECE"/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等线" w:hAnsi="等线" w:cs="Times New Roman"/>
                <w:color w:val="000000"/>
                <w:sz w:val="20"/>
                <w:szCs w:val="19"/>
              </w:rPr>
            </w:pPr>
            <w:r>
              <w:rPr>
                <w:rFonts w:ascii="等线" w:hAnsi="等线" w:cs="Times New Roman"/>
                <w:color w:val="000000"/>
                <w:sz w:val="20"/>
                <w:szCs w:val="19"/>
              </w:rPr>
              <w:t xml:space="preserve">评分项</w:t>
            </w:r>
            <w:r/>
          </w:p>
          <w:p>
            <w:pPr>
              <w:jc w:val="center"/>
              <w:rPr>
                <w:rFonts w:ascii="等线" w:hAnsi="等线" w:cs="Times New Roman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/>
                <w:color w:val="000000"/>
                <w:sz w:val="20"/>
                <w:szCs w:val="19"/>
              </w:rPr>
              <w:t xml:space="preserve">5.2.1</w:t>
            </w:r>
            <w:r/>
          </w:p>
        </w:tc>
        <w:tc>
          <w:tcPr>
            <w:tcW w:w="754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等线" w:hAnsi="等线" w:cs="Times New Roman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5.2.1-2 室内PM</w:t>
            </w:r>
            <w:r>
              <w:rPr>
                <w:rFonts w:ascii="等线" w:hAnsi="等线" w:cs="Times New Roman"/>
                <w:color w:val="000000"/>
                <w:sz w:val="19"/>
                <w:szCs w:val="19"/>
                <w:vertAlign w:val="subscript"/>
              </w:rPr>
              <w:t xml:space="preserve">2.5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年均浓度不高于25µg/m</w:t>
            </w:r>
            <w:r>
              <w:rPr>
                <w:rFonts w:ascii="等线" w:hAnsi="等线" w:cs="Times New Roman"/>
                <w:color w:val="000000"/>
                <w:sz w:val="19"/>
                <w:szCs w:val="19"/>
                <w:vertAlign w:val="superscript"/>
              </w:rPr>
              <w:t xml:space="preserve">3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, 且室内PM</w:t>
            </w:r>
            <w:r>
              <w:rPr>
                <w:rFonts w:ascii="等线" w:hAnsi="等线" w:cs="Times New Roman"/>
                <w:color w:val="000000"/>
                <w:sz w:val="19"/>
                <w:szCs w:val="19"/>
                <w:vertAlign w:val="subscript"/>
              </w:rPr>
              <w:t xml:space="preserve">10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年均浓度不高于50 µg/m</w:t>
            </w:r>
            <w:r>
              <w:rPr>
                <w:rFonts w:ascii="等线" w:hAnsi="等线" w:cs="Times New Roman"/>
                <w:color w:val="000000"/>
                <w:sz w:val="19"/>
                <w:szCs w:val="19"/>
                <w:vertAlign w:val="superscript"/>
              </w:rPr>
              <w:t xml:space="preserve">3</w:t>
            </w:r>
            <w:r>
              <w:rPr>
                <w:rFonts w:ascii="等线" w:hAnsi="等线" w:cs="Times New Roman"/>
                <w:color w:val="000000"/>
                <w:sz w:val="19"/>
                <w:szCs w:val="19"/>
              </w:rPr>
              <w:t xml:space="preserve">, 得6分。</w:t>
            </w:r>
            <w:r/>
          </w:p>
        </w:tc>
      </w:tr>
    </w:tbl>
    <w:p>
      <w:pPr>
        <w:ind w:right="-341" w:firstLine="420"/>
        <w:jc w:val="left"/>
        <w:spacing w:after="120" w:before="120"/>
        <w:rPr>
          <w:rFonts w:ascii="Times New Roman" w:hAnsi="Times New Roman" w:cs="Times New Roman" w:eastAsia="宋体"/>
          <w:color w:val="000000"/>
          <w:sz w:val="21"/>
          <w:szCs w:val="21"/>
        </w:rPr>
      </w:pP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技术要求项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3.2.8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中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室内可吸入颗粒物浓度</w:t>
      </w:r>
      <w:r>
        <w:rPr>
          <w:rFonts w:ascii="Times New Roman" w:hAnsi="Times New Roman" w:cs="Times New Roman" w:eastAsia="宋体" w:hint="eastAsia"/>
          <w:b/>
          <w:color w:val="000000"/>
          <w:sz w:val="21"/>
          <w:szCs w:val="21"/>
        </w:rPr>
        <w:t xml:space="preserve">降低基准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参见现行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《室内空气质量标准》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GB/T 18883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要求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，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《室内空气质量标准》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GB/T 18883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中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规定</w:t>
      </w:r>
      <w:r>
        <w:rPr>
          <w:rFonts w:ascii="Times New Roman" w:hAnsi="Times New Roman" w:cs="Times New Roman" w:eastAsia="宋体"/>
          <w:b/>
          <w:color w:val="000000"/>
          <w:sz w:val="21"/>
          <w:szCs w:val="21"/>
        </w:rPr>
        <w:t xml:space="preserve">PM</w:t>
      </w:r>
      <w:r>
        <w:rPr>
          <w:rFonts w:ascii="Times New Roman" w:hAnsi="Times New Roman" w:cs="Times New Roman" w:eastAsia="宋体"/>
          <w:b/>
          <w:color w:val="000000"/>
          <w:sz w:val="21"/>
          <w:szCs w:val="21"/>
          <w:vertAlign w:val="subscript"/>
        </w:rPr>
        <w:t xml:space="preserve">10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污染物浓度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日均值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的限值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为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0.15 mg/m</w:t>
      </w:r>
      <w:r>
        <w:rPr>
          <w:rFonts w:ascii="Times New Roman" w:hAnsi="Times New Roman" w:cs="Times New Roman" w:eastAsia="宋体"/>
          <w:color w:val="000000"/>
          <w:sz w:val="21"/>
          <w:szCs w:val="21"/>
          <w:vertAlign w:val="superscript"/>
        </w:rPr>
        <w:t xml:space="preserve">3</w:t>
      </w:r>
      <w:r>
        <w:rPr>
          <w:rFonts w:ascii="Times New Roman" w:hAnsi="Times New Roman" w:cs="Times New Roman" w:eastAsia="宋体"/>
          <w:color w:val="000000"/>
          <w:sz w:val="21"/>
          <w:szCs w:val="21"/>
          <w:vertAlign w:val="superscript"/>
        </w:rPr>
        <w:t xml:space="preserve"> 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。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P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M</w:t>
      </w:r>
      <w:r>
        <w:rPr>
          <w:rFonts w:ascii="Times New Roman" w:hAnsi="Times New Roman" w:cs="Times New Roman" w:eastAsia="宋体"/>
          <w:color w:val="000000"/>
          <w:sz w:val="21"/>
          <w:szCs w:val="21"/>
          <w:vertAlign w:val="subscript"/>
        </w:rPr>
        <w:t xml:space="preserve">10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浓度降低比例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可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作为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《绿色建筑评价标准》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GB50378-2019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技术要求项的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评价指标，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室内颗粒物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PM</w:t>
      </w:r>
      <w:r>
        <w:rPr>
          <w:rFonts w:ascii="Times New Roman" w:hAnsi="Times New Roman" w:cs="Times New Roman" w:eastAsia="宋体"/>
          <w:color w:val="000000"/>
          <w:sz w:val="21"/>
          <w:szCs w:val="21"/>
          <w:vertAlign w:val="subscript"/>
        </w:rPr>
        <w:t xml:space="preserve">10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浓度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要求</w:t>
      </w:r>
      <w:r>
        <w:rPr>
          <w:rFonts w:ascii="Times New Roman" w:hAnsi="Times New Roman" w:cs="Times New Roman" w:eastAsia="宋体" w:hint="eastAsia"/>
          <w:color w:val="000000"/>
          <w:sz w:val="21"/>
          <w:szCs w:val="21"/>
        </w:rPr>
        <w:t xml:space="preserve">见</w:t>
      </w:r>
      <w:r>
        <w:rPr>
          <w:rFonts w:ascii="Times New Roman" w:hAnsi="Times New Roman" w:cs="Times New Roman" w:eastAsia="宋体"/>
          <w:color w:val="000000"/>
          <w:sz w:val="21"/>
          <w:szCs w:val="21"/>
        </w:rPr>
        <w:t xml:space="preserve">下表：</w:t>
      </w:r>
      <w:r/>
    </w:p>
    <w:tbl>
      <w:tblPr>
        <w:tblW w:w="8605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>
        <w:trPr>
          <w:jc w:val="center"/>
          <w:trHeight w:val="567"/>
        </w:trPr>
        <w:tc>
          <w:tcPr>
            <w:shd w:val="clear" w:fill="D9D9D9" w:color="D9D9D9" w:themeFill="background1" w:themeFillShade="D9"/>
            <w:tcW w:w="3836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新宋体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星级</w:t>
            </w:r>
            <w:r/>
          </w:p>
        </w:tc>
        <w:tc>
          <w:tcPr>
            <w:shd w:val="clear" w:fill="D9D9D9" w:color="D9D9D9" w:themeFill="background1" w:themeFillShade="D9"/>
            <w:tcW w:w="4769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新宋体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PM</w:t>
            </w:r>
            <w:r>
              <w:rPr>
                <w:rFonts w:ascii="等线" w:hAnsi="等线" w:cs="新宋体"/>
                <w:b/>
                <w:bCs/>
                <w:color w:val="000000"/>
                <w:sz w:val="20"/>
                <w:szCs w:val="19"/>
                <w:vertAlign w:val="subscript"/>
              </w:rPr>
              <w:t xml:space="preserve">10</w:t>
            </w:r>
            <w:r>
              <w:rPr>
                <w:rFonts w:ascii="等线" w:hAnsi="等线" w:cs="新宋体"/>
                <w:b/>
                <w:bCs/>
                <w:color w:val="000000"/>
                <w:sz w:val="20"/>
                <w:szCs w:val="19"/>
              </w:rPr>
              <w:t xml:space="preserve"> </w:t>
            </w: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浓度</w:t>
            </w:r>
            <w:r>
              <w:rPr>
                <w:rFonts w:ascii="等线" w:hAnsi="等线" w:cs="新宋体"/>
                <w:b/>
                <w:bCs/>
                <w:color w:val="000000"/>
                <w:sz w:val="20"/>
                <w:szCs w:val="19"/>
              </w:rPr>
              <w:t xml:space="preserve">mg/m</w:t>
            </w:r>
            <w:r>
              <w:rPr>
                <w:rFonts w:ascii="等线" w:hAnsi="等线" w:cs="新宋体"/>
                <w:b/>
                <w:bCs/>
                <w:color w:val="000000"/>
                <w:sz w:val="20"/>
                <w:szCs w:val="19"/>
                <w:vertAlign w:val="superscript"/>
              </w:rPr>
              <w:t xml:space="preserve">3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3836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/>
                <w:color w:val="000000"/>
                <w:sz w:val="20"/>
                <w:szCs w:val="19"/>
              </w:rPr>
            </w:pPr>
            <w:r>
              <w:rPr>
                <w:rFonts w:ascii="等线" w:hAnsi="等线" w:cs="Times New Roman" w:hint="eastAsia"/>
                <w:color w:val="000000"/>
                <w:sz w:val="20"/>
                <w:szCs w:val="19"/>
              </w:rPr>
              <w:t xml:space="preserve">一</w:t>
            </w:r>
            <w:r>
              <w:rPr>
                <w:rFonts w:ascii="等线" w:hAnsi="等线" w:cs="Times New Roman" w:hint="eastAsia"/>
                <w:color w:val="000000"/>
                <w:sz w:val="20"/>
                <w:szCs w:val="19"/>
              </w:rPr>
              <w:t xml:space="preserve">星级</w:t>
            </w:r>
            <w:r/>
          </w:p>
        </w:tc>
        <w:tc>
          <w:tcPr>
            <w:shd w:val="clear" w:color="auto" w:fill="auto"/>
            <w:tcW w:w="4769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/>
                <w:color w:val="000000"/>
                <w:sz w:val="20"/>
                <w:szCs w:val="20"/>
              </w:rPr>
            </w:pPr>
            <w:r>
              <w:rPr>
                <w:rFonts w:ascii="等线" w:hAnsi="等线" w:cs="Times New Roman"/>
                <w:color w:val="000000"/>
                <w:sz w:val="20"/>
                <w:szCs w:val="20"/>
              </w:rPr>
              <w:t xml:space="preserve">＜0.135</w:t>
            </w:r>
            <w:r>
              <w:rPr>
                <w:rFonts w:ascii="等线" w:hAnsi="等线" w:cs="Times New Roman"/>
                <w:color w:val="000000"/>
                <w:sz w:val="20"/>
                <w:szCs w:val="20"/>
              </w:rPr>
              <w:t xml:space="preserve">（</w:t>
            </w:r>
            <w:r>
              <w:rPr>
                <w:rFonts w:ascii="等线" w:hAnsi="等线" w:cs="Times New Roman" w:hint="eastAsia"/>
                <w:color w:val="000000"/>
                <w:sz w:val="20"/>
                <w:szCs w:val="20"/>
              </w:rPr>
              <w:t xml:space="preserve">降低10%</w:t>
            </w:r>
            <w:r>
              <w:rPr>
                <w:rFonts w:ascii="等线" w:hAnsi="等线" w:cs="Times New Roman"/>
                <w:color w:val="000000"/>
                <w:sz w:val="20"/>
                <w:szCs w:val="20"/>
              </w:rPr>
              <w:t xml:space="preserve">）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3836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/>
                <w:color w:val="000000"/>
                <w:sz w:val="20"/>
                <w:szCs w:val="19"/>
              </w:rPr>
            </w:pPr>
            <w:r>
              <w:rPr>
                <w:rFonts w:ascii="等线" w:hAnsi="等线" w:cs="Times New Roman" w:hint="eastAsia"/>
                <w:color w:val="000000"/>
                <w:sz w:val="20"/>
                <w:szCs w:val="19"/>
              </w:rPr>
              <w:t xml:space="preserve">二星级</w:t>
            </w:r>
            <w:r/>
          </w:p>
        </w:tc>
        <w:tc>
          <w:tcPr>
            <w:shd w:val="clear" w:color="auto" w:fill="auto"/>
            <w:tcW w:w="47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等线" w:hAnsi="等线" w:cs="Times New Roman"/>
                <w:color w:val="000000"/>
                <w:sz w:val="20"/>
                <w:szCs w:val="20"/>
              </w:rPr>
            </w:pPr>
            <w:r>
              <w:rPr>
                <w:rFonts w:ascii="等线" w:hAnsi="等线" w:cs="Times New Roman"/>
                <w:color w:val="000000"/>
                <w:sz w:val="20"/>
                <w:szCs w:val="20"/>
              </w:rPr>
              <w:t xml:space="preserve">＜0.12</w:t>
            </w:r>
            <w:r>
              <w:rPr>
                <w:rFonts w:ascii="等线" w:hAnsi="等线" w:cs="Times New Roman"/>
                <w:color w:val="000000"/>
                <w:sz w:val="20"/>
                <w:szCs w:val="20"/>
              </w:rPr>
              <w:t xml:space="preserve">（</w:t>
            </w:r>
            <w:r>
              <w:rPr>
                <w:rFonts w:ascii="等线" w:hAnsi="等线" w:cs="Times New Roman" w:hint="eastAsia"/>
                <w:color w:val="000000"/>
                <w:sz w:val="20"/>
                <w:szCs w:val="20"/>
              </w:rPr>
              <w:t xml:space="preserve">降低20%</w:t>
            </w:r>
            <w:r>
              <w:rPr>
                <w:rFonts w:ascii="等线" w:hAnsi="等线" w:cs="Times New Roman"/>
                <w:color w:val="000000"/>
                <w:sz w:val="20"/>
                <w:szCs w:val="20"/>
              </w:rPr>
              <w:t xml:space="preserve">）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3836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 w:hint="eastAsia"/>
                <w:color w:val="000000"/>
                <w:sz w:val="19"/>
                <w:szCs w:val="19"/>
              </w:rPr>
              <w:t xml:space="preserve">三星级</w:t>
            </w:r>
            <w:r/>
          </w:p>
        </w:tc>
        <w:tc>
          <w:tcPr>
            <w:tcW w:w="4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等线" w:hAnsi="等线" w:eastAsia="等线"/>
                <w:bCs/>
              </w:rPr>
            </w:pPr>
            <w:r>
              <w:rPr>
                <w:rFonts w:ascii="等线" w:hAnsi="等线" w:eastAsia="等线"/>
                <w:bCs/>
              </w:rPr>
            </w:r>
            <w:r/>
          </w:p>
        </w:tc>
      </w:tr>
    </w:tbl>
    <w:p>
      <w:pPr>
        <w:pStyle w:val="597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eastAsia="黑体"/>
          <w:sz w:val="28"/>
          <w:szCs w:val="28"/>
        </w:rPr>
      </w:pPr>
      <w:r/>
      <w:bookmarkStart w:id="19" w:name="_Toc92096772"/>
      <w:r>
        <w:rPr>
          <w:rFonts w:ascii="黑体" w:hAnsi="黑体" w:eastAsia="黑体" w:hint="eastAsia"/>
          <w:sz w:val="28"/>
          <w:szCs w:val="28"/>
        </w:rPr>
        <w:t xml:space="preserve">计算</w:t>
      </w:r>
      <w:r>
        <w:rPr>
          <w:rFonts w:ascii="黑体" w:hAnsi="黑体" w:eastAsia="黑体" w:hint="eastAsia"/>
          <w:sz w:val="28"/>
          <w:szCs w:val="28"/>
        </w:rPr>
        <w:t xml:space="preserve">原理</w:t>
      </w:r>
      <w:bookmarkEnd w:id="19"/>
      <w:r/>
      <w:r/>
    </w:p>
    <w:p>
      <w:pPr>
        <w:ind w:firstLine="420"/>
        <w:rPr>
          <w:color w:val="000000"/>
        </w:rPr>
      </w:pPr>
      <w:r>
        <w:rPr>
          <w:rFonts w:ascii="宋体" w:hAnsi="宋体" w:eastAsia="宋体" w:hint="eastAsia"/>
        </w:rPr>
        <w:t xml:space="preserve">本项目</w:t>
      </w:r>
      <w:r>
        <w:rPr>
          <w:rFonts w:ascii="宋体" w:hAnsi="宋体" w:eastAsia="宋体" w:hint="eastAsia"/>
        </w:rPr>
        <w:t xml:space="preserve">通过输入室外大气颗粒物信息，通风净化</w:t>
      </w:r>
      <w:r>
        <w:rPr>
          <w:rFonts w:ascii="宋体" w:hAnsi="宋体" w:eastAsia="宋体" w:hint="eastAsia"/>
        </w:rPr>
        <w:t xml:space="preserve">措施</w:t>
      </w:r>
      <w:r>
        <w:rPr>
          <w:rFonts w:ascii="宋体" w:hAnsi="宋体" w:eastAsia="宋体" w:hint="eastAsia"/>
        </w:rPr>
        <w:t xml:space="preserve">，房间</w:t>
      </w:r>
      <w:r>
        <w:rPr>
          <w:rFonts w:ascii="宋体" w:hAnsi="宋体" w:eastAsia="宋体" w:hint="eastAsia"/>
        </w:rPr>
        <w:t xml:space="preserve">渗透风量</w:t>
      </w:r>
      <w:r>
        <w:rPr>
          <w:rFonts w:ascii="宋体" w:hAnsi="宋体" w:eastAsia="宋体" w:hint="eastAsia"/>
        </w:rPr>
        <w:t xml:space="preserve">，对室内颗粒物的浓度进行计算</w:t>
      </w:r>
      <w:r>
        <w:rPr>
          <w:rFonts w:ascii="宋体" w:hAnsi="宋体" w:eastAsia="宋体" w:hint="eastAsia"/>
        </w:rPr>
        <w:t xml:space="preserve">，如下图所示：</w:t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310" cy="2502245"/>
                <wp:effectExtent l="0" t="0" r="2540" b="0"/>
                <wp:docPr id="11" name="图片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274310" cy="2502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415.3pt;height:197.0pt;" stroked="false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 w:hint="eastAsia"/>
          <w:b/>
          <w:sz w:val="18"/>
        </w:rPr>
        <w:t xml:space="preserve">图</w:t>
      </w:r>
      <w:r>
        <w:rPr>
          <w:rFonts w:ascii="微软雅黑" w:hAnsi="微软雅黑" w:eastAsia="微软雅黑"/>
          <w:b/>
          <w:sz w:val="18"/>
        </w:rPr>
        <w:t xml:space="preserve">4</w:t>
      </w:r>
      <w:r>
        <w:rPr>
          <w:rFonts w:ascii="微软雅黑" w:hAnsi="微软雅黑" w:eastAsia="微软雅黑" w:hint="eastAsia"/>
          <w:b/>
          <w:sz w:val="18"/>
        </w:rPr>
        <w:t xml:space="preserve">-1 计算</w:t>
      </w:r>
      <w:r>
        <w:rPr>
          <w:rFonts w:ascii="微软雅黑" w:hAnsi="微软雅黑" w:eastAsia="微软雅黑" w:hint="eastAsia"/>
          <w:b/>
          <w:sz w:val="18"/>
        </w:rPr>
        <w:t xml:space="preserve">流程</w:t>
      </w:r>
      <w:r>
        <w:rPr>
          <w:rFonts w:ascii="微软雅黑" w:hAnsi="微软雅黑" w:eastAsia="微软雅黑"/>
          <w:b/>
          <w:sz w:val="18"/>
        </w:rPr>
        <w:t xml:space="preserve">图</w:t>
      </w:r>
      <w:r/>
    </w:p>
    <w:p>
      <w:pPr>
        <w:spacing w:before="156"/>
        <w:rPr>
          <w:rFonts w:ascii="宋体" w:hAnsi="宋体" w:eastAsia="宋体"/>
        </w:rPr>
      </w:pPr>
      <w:r>
        <w:rPr>
          <w:rFonts w:ascii="宋体" w:hAnsi="宋体" w:eastAsia="宋体" w:hint="eastAsia"/>
        </w:rPr>
        <w:t xml:space="preserve"> </w:t>
      </w:r>
      <w:r>
        <w:rPr>
          <w:rFonts w:ascii="宋体" w:hAnsi="宋体" w:eastAsia="宋体"/>
        </w:rPr>
        <w:t xml:space="preserve">  </w:t>
      </w:r>
      <w:r>
        <w:rPr>
          <w:rFonts w:ascii="宋体" w:hAnsi="宋体" w:eastAsia="宋体"/>
        </w:rPr>
        <w:t xml:space="preserve"> </w:t>
      </w:r>
      <w:r>
        <w:rPr>
          <w:rFonts w:ascii="宋体" w:hAnsi="宋体" w:eastAsia="宋体" w:hint="eastAsia"/>
        </w:rPr>
        <w:t xml:space="preserve">室内颗粒物主要</w:t>
      </w:r>
      <w:r>
        <w:rPr>
          <w:rFonts w:ascii="宋体" w:hAnsi="宋体" w:eastAsia="宋体" w:hint="eastAsia"/>
        </w:rPr>
        <w:t xml:space="preserve">源</w:t>
      </w:r>
      <w:r>
        <w:rPr>
          <w:rFonts w:ascii="宋体" w:hAnsi="宋体" w:eastAsia="宋体" w:hint="eastAsia"/>
        </w:rPr>
        <w:t xml:space="preserve">于室外</w:t>
      </w:r>
      <w:r>
        <w:rPr>
          <w:rFonts w:ascii="宋体" w:hAnsi="宋体" w:eastAsia="宋体" w:hint="eastAsia"/>
        </w:rPr>
        <w:t xml:space="preserve">颗粒物</w:t>
      </w:r>
      <w:r>
        <w:rPr>
          <w:rFonts w:ascii="宋体" w:hAnsi="宋体" w:eastAsia="宋体" w:hint="eastAsia"/>
        </w:rPr>
        <w:t xml:space="preserve">的进入以及室内人员的日常活动。因此室内颗粒物浓度的评价</w:t>
      </w:r>
      <w:r>
        <w:rPr>
          <w:rFonts w:ascii="宋体" w:hAnsi="宋体" w:eastAsia="宋体" w:hint="eastAsia"/>
        </w:rPr>
        <w:t xml:space="preserve">主要</w:t>
      </w:r>
      <w:r>
        <w:rPr>
          <w:rFonts w:ascii="宋体" w:hAnsi="宋体" w:eastAsia="宋体" w:hint="eastAsia"/>
        </w:rPr>
        <w:t xml:space="preserve">考虑两方面的因素，室外颗粒物进入室内的颗粒物浓度，以及各种净化措施对颗粒物的稀释，本项目采用室内颗粒</w:t>
      </w:r>
      <w:r>
        <w:rPr>
          <w:rFonts w:ascii="宋体" w:hAnsi="宋体" w:eastAsia="宋体" w:hint="eastAsia"/>
        </w:rPr>
        <w:t xml:space="preserve">物</w:t>
      </w:r>
      <w:r>
        <w:rPr>
          <w:rFonts w:ascii="宋体" w:hAnsi="宋体" w:eastAsia="宋体" w:hint="eastAsia"/>
        </w:rPr>
        <w:t xml:space="preserve">预评价</w:t>
      </w:r>
      <w:r>
        <w:rPr>
          <w:rFonts w:ascii="宋体" w:hAnsi="宋体" w:eastAsia="宋体" w:hint="eastAsia"/>
        </w:rPr>
        <w:t xml:space="preserve">模型方程如下：</w:t>
      </w:r>
      <w:r/>
    </w:p>
    <w:p>
      <w:pPr>
        <w:ind w:firstLine="105"/>
        <w:spacing w:lineRule="atLeast" w:line="240"/>
      </w:pPr>
      <w:r>
        <w:rPr>
          <w:position w:val="-24"/>
        </w:rPr>
        <w:object w:dxaOrig="8820" w:dyaOrig="62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1" o:spid="_x0000_s11" type="#_x0000_t75" style="mso-wrap-distance-left:0.0pt;mso-wrap-distance-top:0.0pt;mso-wrap-distance-right:0.0pt;mso-wrap-distance-bottom:0.0pt;width:410.3pt;height:30.5pt;" filled="f" stroked="f">
            <v:path textboxrect="0,0,0,0"/>
            <v:imagedata r:id="rId24" o:title=""/>
          </v:shape>
          <o:OLEObject DrawAspect="Content" r:id="rId25" ObjectID="_15250411" ProgID="Equation.DSMT4" ShapeID="_x0000_i11" Type="Embed"/>
        </w:object>
      </w:r>
      <w:r>
        <w:rPr>
          <w:rFonts w:hint="eastAsia"/>
        </w:rPr>
        <w:t xml:space="preserve">其中：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 xml:space="preserve">C</w:t>
      </w:r>
      <w:r>
        <w:rPr>
          <w:rFonts w:ascii="Calibri" w:hAnsi="Calibri" w:cs="Calibri"/>
          <w:vertAlign w:val="subscript"/>
        </w:rPr>
        <w:t xml:space="preserve">a</w:t>
      </w:r>
      <w:r>
        <w:rPr>
          <w:rFonts w:ascii="Calibri" w:hAnsi="Calibri" w:cs="Calibri"/>
        </w:rPr>
        <w:t xml:space="preserve">，</w:t>
      </w:r>
      <w:r>
        <w:rPr>
          <w:rFonts w:ascii="Calibri" w:hAnsi="Calibri" w:cs="Calibri"/>
          <w:i/>
        </w:rPr>
        <w:t xml:space="preserve">C</w:t>
      </w:r>
      <w:r>
        <w:rPr>
          <w:rFonts w:ascii="Calibri" w:hAnsi="Calibri" w:cs="Calibri"/>
          <w:vertAlign w:val="subscript"/>
        </w:rPr>
        <w:t xml:space="preserve">out</w:t>
      </w:r>
      <w:r>
        <w:rPr>
          <w:rFonts w:ascii="宋体" w:hAnsi="宋体" w:eastAsia="宋体" w:hint="eastAsia"/>
        </w:rPr>
        <w:t xml:space="preserve"> ——</w:t>
      </w:r>
      <w:r>
        <w:rPr>
          <w:rFonts w:ascii="宋体" w:hAnsi="宋体" w:eastAsia="宋体" w:hint="eastAsia"/>
        </w:rPr>
        <w:t xml:space="preserve">室内</w:t>
      </w:r>
      <w:r>
        <w:rPr>
          <w:rFonts w:ascii="宋体" w:hAnsi="宋体" w:eastAsia="宋体" w:hint="eastAsia"/>
        </w:rPr>
        <w:t xml:space="preserve">、室外颗粒物</w:t>
      </w:r>
      <w:r>
        <w:rPr>
          <w:rFonts w:ascii="宋体" w:hAnsi="宋体" w:eastAsia="宋体" w:hint="eastAsia"/>
        </w:rPr>
        <w:t xml:space="preserve">浓度</w:t>
      </w:r>
      <w:r>
        <w:rPr>
          <w:rFonts w:ascii="宋体" w:hAnsi="宋体" w:eastAsia="宋体" w:hint="eastAsia"/>
        </w:rPr>
        <w:t xml:space="preserve">，</w:t>
      </w:r>
      <w:r>
        <w:rPr>
          <w:rFonts w:ascii="宋体" w:hAnsi="宋体" w:eastAsia="宋体" w:hint="eastAsia"/>
        </w:rPr>
        <w:t xml:space="preserve">单位</w:t>
      </w:r>
      <w:r>
        <w:rPr>
          <w:rFonts w:hint="eastAsia"/>
        </w:rPr>
        <w:t xml:space="preserve">为</w:t>
      </w:r>
      <w:r>
        <w:rPr>
          <w:rFonts w:hint="eastAsia"/>
          <w:sz w:val="20"/>
        </w:rPr>
        <w:t xml:space="preserve">μg/m</w:t>
      </w:r>
      <w:r>
        <w:rPr>
          <w:rFonts w:hint="eastAsia"/>
          <w:sz w:val="20"/>
          <w:vertAlign w:val="superscript"/>
        </w:rPr>
        <w:t xml:space="preserve">3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lineRule="atLeast" w:line="240"/>
      </w:pPr>
      <w:r>
        <w:rPr>
          <w:i/>
        </w:rPr>
        <w:t xml:space="preserve">       </w:t>
      </w:r>
      <w:r>
        <w:rPr>
          <w:rFonts w:ascii="Calibri" w:hAnsi="Calibri" w:cs="Calibri"/>
          <w:i/>
        </w:rPr>
        <w:t xml:space="preserve">Q</w:t>
      </w:r>
      <w:r>
        <w:rPr>
          <w:rFonts w:ascii="Calibri" w:hAnsi="Calibri" w:cs="Calibri"/>
          <w:vertAlign w:val="subscript"/>
        </w:rPr>
        <w:t xml:space="preserve">m,1</w:t>
      </w:r>
      <w:r>
        <w:rPr>
          <w:rFonts w:ascii="Calibri" w:hAnsi="Calibri" w:cs="Calibri"/>
        </w:rPr>
        <w:t xml:space="preserve">，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 xml:space="preserve">Q</w:t>
      </w:r>
      <w:r>
        <w:rPr>
          <w:rFonts w:ascii="Calibri" w:hAnsi="Calibri" w:cs="Calibri"/>
          <w:vertAlign w:val="subscript"/>
        </w:rPr>
        <w:t xml:space="preserve">m,2</w:t>
      </w:r>
      <w:r>
        <w:rPr>
          <w:rFonts w:ascii="宋体" w:hAnsi="宋体" w:eastAsia="宋体" w:hint="eastAsia"/>
        </w:rPr>
        <w:t xml:space="preserve">——</w:t>
      </w:r>
      <w:r>
        <w:rPr>
          <w:rFonts w:ascii="宋体" w:hAnsi="宋体" w:eastAsia="宋体" w:hint="eastAsia"/>
        </w:rPr>
        <w:t xml:space="preserve">机械通风新、回风量，单位为</w:t>
      </w:r>
      <w:r>
        <w:rPr>
          <w:rFonts w:hint="eastAsia"/>
        </w:rPr>
        <w:t xml:space="preserve">m</w:t>
      </w:r>
      <w:r>
        <w:rPr>
          <w:rFonts w:hint="eastAsia"/>
          <w:vertAlign w:val="superscript"/>
        </w:rPr>
        <w:t xml:space="preserve">3</w:t>
      </w:r>
      <w:r>
        <w:rPr>
          <w:rFonts w:hint="eastAsia"/>
        </w:rPr>
        <w:t xml:space="preserve">/h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lineRule="atLeast" w:line="240"/>
        <w:rPr>
          <w:rFonts w:ascii="宋体" w:hAnsi="宋体" w:eastAsia="宋体"/>
        </w:rPr>
      </w:pPr>
      <w:r>
        <w:rPr>
          <w:rFonts w:ascii="Calibri" w:hAnsi="Calibri" w:cs="Calibri"/>
        </w:rPr>
        <w:t xml:space="preserve">       </w:t>
      </w:r>
      <w:r>
        <w:rPr>
          <w:rFonts w:ascii="Cambria Math" w:hAnsi="Cambria Math" w:cs="Cambria Math"/>
        </w:rPr>
        <w:t xml:space="preserve">𝜂</w:t>
      </w:r>
      <w:r>
        <w:rPr>
          <w:rFonts w:ascii="Cambria Math" w:hAnsi="Cambria Math" w:cs="Cambria Math"/>
          <w:vertAlign w:val="subscript"/>
        </w:rPr>
        <w:t xml:space="preserve">𝑚</w:t>
      </w:r>
      <w:r>
        <w:rPr>
          <w:rFonts w:ascii="Calibri" w:hAnsi="Calibri" w:cs="Calibri"/>
          <w:vertAlign w:val="subscript"/>
        </w:rPr>
        <w:t xml:space="preserve">,1</w:t>
      </w:r>
      <w:r>
        <w:rPr>
          <w:rFonts w:ascii="Calibri" w:hAnsi="Calibri" w:cs="Calibri"/>
        </w:rPr>
        <w:t xml:space="preserve">，</w:t>
      </w:r>
      <w:r>
        <w:rPr>
          <w:rFonts w:ascii="Cambria Math" w:hAnsi="Cambria Math" w:cs="Cambria Math"/>
        </w:rPr>
        <w:t xml:space="preserve">𝜂</w:t>
      </w:r>
      <w:r>
        <w:rPr>
          <w:rFonts w:ascii="Cambria Math" w:hAnsi="Cambria Math" w:cs="Cambria Math"/>
          <w:vertAlign w:val="subscript"/>
        </w:rPr>
        <w:t xml:space="preserve">𝑚</w:t>
      </w:r>
      <w:r>
        <w:rPr>
          <w:rFonts w:ascii="Calibri" w:hAnsi="Calibri" w:cs="Calibri"/>
          <w:vertAlign w:val="subscript"/>
        </w:rPr>
        <w:t xml:space="preserve">,2</w:t>
      </w:r>
      <w:r>
        <w:rPr>
          <w:rFonts w:ascii="宋体" w:hAnsi="宋体" w:eastAsia="宋体" w:hint="eastAsia"/>
        </w:rPr>
        <w:t xml:space="preserve">——</w:t>
      </w:r>
      <w:r>
        <w:rPr>
          <w:rFonts w:ascii="宋体" w:hAnsi="宋体" w:eastAsia="宋体" w:hint="eastAsia"/>
        </w:rPr>
        <w:t xml:space="preserve">新、回风一次通过净化效率，无量纲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lineRule="atLeast" w:line="240"/>
        <w:rPr>
          <w:rFonts w:ascii="宋体" w:hAnsi="宋体" w:eastAsia="宋体"/>
        </w:rPr>
      </w:pPr>
      <w:r>
        <w:rPr>
          <w:i/>
        </w:rPr>
        <w:t xml:space="preserve">       </w:t>
      </w:r>
      <w:r>
        <w:rPr>
          <w:rFonts w:ascii="Calibri" w:hAnsi="Calibri" w:cs="Calibri"/>
          <w:i/>
        </w:rPr>
        <w:t xml:space="preserve">Q</w:t>
      </w:r>
      <w:r>
        <w:rPr>
          <w:rFonts w:ascii="Calibri" w:hAnsi="Calibri" w:cs="Calibri"/>
          <w:vertAlign w:val="subscript"/>
        </w:rPr>
        <w:t xml:space="preserve">n</w:t>
      </w:r>
      <w:r>
        <w:rPr>
          <w:rFonts w:ascii="Calibri" w:hAnsi="Calibri" w:cs="Calibri"/>
          <w:vertAlign w:val="subscript"/>
        </w:rPr>
        <w:t xml:space="preserve">  </w:t>
      </w:r>
      <w:r>
        <w:rPr>
          <w:rFonts w:ascii="宋体" w:hAnsi="宋体" w:eastAsia="宋体" w:hint="eastAsia"/>
        </w:rPr>
        <w:t xml:space="preserve">——</w:t>
      </w:r>
      <w:r>
        <w:rPr>
          <w:rFonts w:ascii="宋体" w:hAnsi="宋体" w:eastAsia="宋体" w:hint="eastAsia"/>
        </w:rPr>
        <w:t xml:space="preserve">房间开窗通风</w:t>
      </w:r>
      <w:r>
        <w:rPr>
          <w:rFonts w:ascii="宋体" w:hAnsi="宋体" w:eastAsia="宋体" w:hint="eastAsia"/>
        </w:rPr>
        <w:t xml:space="preserve">量</w:t>
      </w:r>
      <w:r>
        <w:rPr>
          <w:rFonts w:ascii="宋体" w:hAnsi="宋体" w:eastAsia="宋体" w:hint="eastAsia"/>
        </w:rPr>
        <w:t xml:space="preserve">渗</w:t>
      </w:r>
      <w:r>
        <w:rPr>
          <w:rFonts w:ascii="宋体" w:hAnsi="宋体" w:eastAsia="宋体" w:hint="eastAsia"/>
        </w:rPr>
        <w:t xml:space="preserve">风量，单位为</w:t>
      </w:r>
      <w:r>
        <w:rPr>
          <w:rFonts w:hint="eastAsia"/>
        </w:rPr>
        <w:t xml:space="preserve">m</w:t>
      </w:r>
      <w:r>
        <w:rPr>
          <w:rFonts w:hint="eastAsia"/>
          <w:vertAlign w:val="superscript"/>
        </w:rPr>
        <w:t xml:space="preserve">3</w:t>
      </w:r>
      <w:r>
        <w:rPr>
          <w:rFonts w:hint="eastAsia"/>
        </w:rPr>
        <w:t xml:space="preserve">/h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lineRule="atLeast" w:line="240"/>
        <w:rPr>
          <w:sz w:val="22"/>
          <w:szCs w:val="24"/>
        </w:rPr>
      </w:pPr>
      <w:r>
        <w:rPr>
          <w:rFonts w:ascii="宋体" w:hAnsi="宋体" w:eastAsia="宋体"/>
          <w:sz w:val="22"/>
          <w:szCs w:val="24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rPr/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rPr/>
              <m:t>i</m:t>
            </m:r>
          </m:sub>
        </m:sSub>
      </m:oMath>
      <w:r>
        <w:rPr>
          <w:rFonts w:hint="eastAsia"/>
          <w:sz w:val="22"/>
          <w:szCs w:val="24"/>
        </w:rPr>
        <w:t xml:space="preserve"> </w:t>
      </w:r>
      <w:r>
        <w:rPr>
          <w:rFonts w:ascii="宋体" w:hAnsi="宋体" w:eastAsia="宋体" w:hint="eastAsia"/>
        </w:rPr>
        <w:t xml:space="preserve">——</w:t>
      </w:r>
      <w:r>
        <w:rPr>
          <w:rFonts w:ascii="宋体" w:hAnsi="宋体" w:eastAsia="宋体" w:hint="eastAsia"/>
        </w:rPr>
        <w:t xml:space="preserve">渗</w:t>
      </w:r>
      <w:r>
        <w:rPr>
          <w:rFonts w:ascii="宋体" w:hAnsi="宋体" w:eastAsia="宋体" w:hint="eastAsia"/>
        </w:rPr>
        <w:t xml:space="preserve">风量，单位为</w:t>
      </w:r>
      <w:r>
        <w:rPr>
          <w:rFonts w:hint="eastAsia"/>
        </w:rPr>
        <w:t xml:space="preserve">m</w:t>
      </w:r>
      <w:r>
        <w:rPr>
          <w:rFonts w:hint="eastAsia"/>
          <w:vertAlign w:val="superscript"/>
        </w:rPr>
        <w:t xml:space="preserve">3</w:t>
      </w:r>
      <w:r>
        <w:rPr>
          <w:rFonts w:hint="eastAsia"/>
        </w:rPr>
        <w:t xml:space="preserve">/h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lineRule="atLeast" w:line="240"/>
      </w:pPr>
      <w:r>
        <w:t xml:space="preserve">      </w:t>
      </w:r>
      <w:r>
        <w:rPr>
          <w:rFonts w:ascii="Calibri" w:hAnsi="Calibri" w:cs="Calibri"/>
        </w:rPr>
        <w:t xml:space="preserve"> CADR</w:t>
      </w:r>
      <w:r>
        <w:rPr>
          <w:rFonts w:ascii="宋体" w:hAnsi="宋体" w:eastAsia="宋体" w:hint="eastAsia"/>
        </w:rPr>
        <w:t xml:space="preserve">——</w:t>
      </w:r>
      <w:r>
        <w:rPr>
          <w:rFonts w:ascii="宋体" w:hAnsi="宋体" w:eastAsia="宋体" w:hint="eastAsia"/>
        </w:rPr>
        <w:t xml:space="preserve">为净化器洁净空气量，单位为</w:t>
      </w:r>
      <w:r>
        <w:rPr>
          <w:rFonts w:hint="eastAsia"/>
        </w:rPr>
        <w:t xml:space="preserve">m</w:t>
      </w:r>
      <w:r>
        <w:rPr>
          <w:rFonts w:hint="eastAsia"/>
          <w:vertAlign w:val="superscript"/>
        </w:rPr>
        <w:t xml:space="preserve">3</w:t>
      </w:r>
      <w:r>
        <w:rPr>
          <w:rFonts w:hint="eastAsia"/>
        </w:rPr>
        <w:t xml:space="preserve">/h</w:t>
      </w:r>
      <w:r>
        <w:rPr>
          <w:rFonts w:ascii="宋体" w:hAnsi="宋体" w:eastAsia="宋体" w:hint="eastAsia"/>
        </w:rPr>
        <w:t xml:space="preserve">；</w:t>
      </w:r>
      <w:r/>
    </w:p>
    <w:p>
      <w:pPr>
        <w:ind w:left="1273" w:right="210" w:hanging="1065"/>
        <w:spacing w:lineRule="atLeast" w:line="240"/>
        <w:rPr>
          <w:rFonts w:ascii="宋体" w:hAnsi="宋体" w:eastAsia="宋体"/>
        </w:rPr>
      </w:pPr>
      <w:r>
        <w:rPr>
          <w:i/>
        </w:rPr>
        <w:t xml:space="preserve">     </w:t>
      </w:r>
      <w:r>
        <w:rPr>
          <w:rFonts w:ascii="Calibri" w:hAnsi="Calibri" w:cs="Calibri"/>
          <w:i/>
        </w:rPr>
        <w:t xml:space="preserve">P</w:t>
      </w:r>
      <w:r>
        <w:rPr>
          <w:rFonts w:ascii="宋体" w:hAnsi="宋体" w:eastAsia="宋体" w:hint="eastAsia"/>
        </w:rPr>
        <w:t xml:space="preserve">——</w:t>
      </w:r>
      <w:r>
        <w:rPr>
          <w:rFonts w:ascii="宋体" w:hAnsi="宋体" w:eastAsia="宋体" w:hint="eastAsia"/>
        </w:rPr>
        <w:t xml:space="preserve">室外颗粒物</w:t>
      </w:r>
      <w:r>
        <w:rPr>
          <w:rFonts w:ascii="宋体" w:hAnsi="宋体" w:eastAsia="宋体" w:hint="eastAsia"/>
        </w:rPr>
        <w:t xml:space="preserve">渗透系数，</w:t>
      </w:r>
      <w:r>
        <w:rPr>
          <w:rFonts w:ascii="宋体" w:hAnsi="宋体" w:eastAsia="宋体" w:hint="eastAsia"/>
        </w:rPr>
        <w:t xml:space="preserve">即室外颗粒物通过围护结构后的浓度与其室外浓度的比值，</w:t>
      </w:r>
      <w:r>
        <w:rPr>
          <w:rFonts w:ascii="宋体" w:hAnsi="宋体" w:eastAsia="宋体" w:hint="eastAsia"/>
        </w:rPr>
        <w:t xml:space="preserve">无量纲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lineRule="atLeast" w:line="240"/>
      </w:pPr>
      <w:r>
        <w:t xml:space="preserve">       </w:t>
      </w:r>
      <w:r>
        <w:rPr>
          <w:rFonts w:ascii="Calibri" w:hAnsi="Calibri" w:cs="Calibri" w:hint="eastAsia"/>
          <w:i/>
        </w:rPr>
        <w:t xml:space="preserve">R</w:t>
      </w:r>
      <w:r>
        <w:rPr>
          <w:rFonts w:ascii="宋体" w:hAnsi="宋体" w:eastAsia="宋体" w:hint="eastAsia"/>
        </w:rPr>
        <w:t xml:space="preserve">——</w:t>
      </w:r>
      <w:r>
        <w:rPr>
          <w:rFonts w:ascii="宋体" w:hAnsi="宋体" w:eastAsia="宋体" w:hint="eastAsia"/>
        </w:rPr>
        <w:t xml:space="preserve">室内</w:t>
      </w:r>
      <w:r>
        <w:rPr>
          <w:rFonts w:ascii="宋体" w:hAnsi="宋体" w:eastAsia="宋体" w:hint="eastAsia"/>
        </w:rPr>
        <w:t xml:space="preserve">颗粒物</w:t>
      </w:r>
      <w:r>
        <w:rPr>
          <w:rFonts w:ascii="宋体" w:hAnsi="宋体" w:eastAsia="宋体" w:hint="eastAsia"/>
        </w:rPr>
        <w:t xml:space="preserve">源强度</w:t>
      </w:r>
      <w:r>
        <w:rPr>
          <w:rFonts w:hint="eastAsia"/>
        </w:rPr>
        <w:t xml:space="preserve">，单位为</w:t>
      </w:r>
      <w:r>
        <w:rPr>
          <w:rFonts w:hint="eastAsia"/>
        </w:rPr>
        <w:t xml:space="preserve">μ</w:t>
      </w:r>
      <w:r>
        <w:rPr>
          <w:rFonts w:hint="eastAsia"/>
        </w:rPr>
        <w:t xml:space="preserve">g/h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lineRule="atLeast" w:line="240"/>
      </w:pPr>
      <w:r>
        <w:rPr>
          <w:rFonts w:ascii="Calibri" w:hAnsi="Calibri" w:cs="Calibri"/>
          <w:i/>
        </w:rPr>
        <w:t xml:space="preserve">       K</w:t>
      </w:r>
      <w:r>
        <w:rPr>
          <w:rFonts w:hint="eastAsia"/>
          <w:i/>
        </w:rPr>
        <w:t xml:space="preserve">——</w:t>
      </w:r>
      <w:r>
        <w:rPr>
          <w:rFonts w:ascii="宋体" w:hAnsi="宋体" w:eastAsia="宋体" w:hint="eastAsia"/>
        </w:rPr>
        <w:t xml:space="preserve">沉降速率</w:t>
      </w:r>
      <w:r>
        <w:rPr>
          <w:rFonts w:hint="eastAsia"/>
        </w:rPr>
        <w:t xml:space="preserve">1/h</w:t>
      </w:r>
      <w:r>
        <w:rPr>
          <w:rFonts w:ascii="宋体" w:hAnsi="宋体" w:eastAsia="宋体" w:hint="eastAsia"/>
        </w:rPr>
        <w:t xml:space="preserve">；</w:t>
      </w:r>
      <w:r/>
    </w:p>
    <w:p>
      <w:pPr>
        <w:spacing w:before="156"/>
      </w:pPr>
      <w:r>
        <w:t xml:space="preserve">     </w:t>
      </w:r>
      <w:r>
        <w:rPr>
          <w:i/>
        </w:rPr>
        <w:t xml:space="preserve">  </w:t>
      </w:r>
      <w:r>
        <w:rPr>
          <w:rFonts w:ascii="Calibri" w:hAnsi="Calibri" w:cs="Calibri" w:hint="eastAsia"/>
          <w:i/>
        </w:rPr>
        <w:t xml:space="preserve">V</w:t>
      </w:r>
      <w:r>
        <w:rPr>
          <w:rFonts w:hint="eastAsia"/>
          <w:i/>
        </w:rPr>
        <w:t xml:space="preserve">——</w:t>
      </w:r>
      <w:r>
        <w:rPr>
          <w:rFonts w:ascii="宋体" w:hAnsi="宋体" w:eastAsia="宋体" w:hint="eastAsia"/>
        </w:rPr>
        <w:t xml:space="preserve">房间体积</w:t>
      </w:r>
      <w:r>
        <w:rPr>
          <w:rFonts w:hint="eastAsia"/>
        </w:rPr>
        <w:t xml:space="preserve">m</w:t>
      </w:r>
      <w:r>
        <w:rPr>
          <w:rFonts w:hint="eastAsia"/>
          <w:vertAlign w:val="superscript"/>
        </w:rPr>
        <w:t xml:space="preserve">3</w:t>
      </w:r>
      <w:r>
        <w:rPr>
          <w:rFonts w:ascii="宋体" w:hAnsi="宋体" w:eastAsia="宋体" w:hint="eastAsia"/>
        </w:rPr>
        <w:t xml:space="preserve">；</w:t>
      </w:r>
      <w:r/>
    </w:p>
    <w:p>
      <w:pPr>
        <w:pStyle w:val="597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eastAsia="黑体"/>
          <w:sz w:val="28"/>
          <w:szCs w:val="28"/>
        </w:rPr>
      </w:pPr>
      <w:r/>
      <w:bookmarkStart w:id="20" w:name="_Toc92096773"/>
      <w:r>
        <w:rPr>
          <w:rFonts w:ascii="黑体" w:hAnsi="黑体" w:eastAsia="黑体" w:hint="eastAsia"/>
          <w:sz w:val="28"/>
          <w:szCs w:val="28"/>
        </w:rPr>
        <w:t xml:space="preserve">计算</w:t>
      </w:r>
      <w:r>
        <w:rPr>
          <w:rFonts w:ascii="黑体" w:hAnsi="黑体" w:eastAsia="黑体" w:hint="eastAsia"/>
          <w:sz w:val="28"/>
          <w:szCs w:val="28"/>
        </w:rPr>
        <w:t xml:space="preserve">参数</w:t>
      </w:r>
      <w:bookmarkEnd w:id="20"/>
      <w:r/>
      <w:r/>
    </w:p>
    <w:p>
      <w:pPr>
        <w:ind w:firstLine="420"/>
        <w:rPr>
          <w:rFonts w:ascii="宋体" w:hAnsi="宋体" w:eastAsia="宋体"/>
        </w:rPr>
      </w:pPr>
      <w:r>
        <w:rPr>
          <w:rFonts w:ascii="宋体" w:hAnsi="宋体" w:eastAsia="宋体" w:hint="eastAsia"/>
        </w:rPr>
        <w:t xml:space="preserve">本项目对室内颗粒物浓度进行计算并评价，</w:t>
      </w:r>
      <w:r>
        <w:rPr>
          <w:rFonts w:ascii="宋体" w:hAnsi="宋体" w:eastAsia="宋体" w:hint="eastAsia"/>
        </w:rPr>
        <w:t xml:space="preserve">计算所需输入的参数主要为污染物源强以及通风净化措施</w:t>
      </w:r>
      <w:r>
        <w:rPr>
          <w:rFonts w:ascii="宋体" w:hAnsi="宋体" w:eastAsia="宋体" w:hint="eastAsia"/>
        </w:rPr>
        <w:t xml:space="preserve">见下述小节。</w:t>
      </w:r>
      <w:r/>
    </w:p>
    <w:p>
      <w:pPr>
        <w:pStyle w:val="632"/>
        <w:numPr>
          <w:ilvl w:val="0"/>
          <w:numId w:val="10"/>
        </w:numPr>
        <w:keepLines/>
        <w:keepNext/>
        <w:spacing w:lineRule="auto" w:line="416" w:after="260" w:before="260"/>
        <w:widowControl/>
        <w:rPr>
          <w:rFonts w:ascii="Arial" w:hAnsi="Arial" w:cs="Times New Roman" w:eastAsia="黑体"/>
          <w:b/>
          <w:bCs/>
          <w:vanish/>
          <w:sz w:val="24"/>
          <w:szCs w:val="24"/>
        </w:rPr>
        <w:outlineLvl w:val="1"/>
      </w:pPr>
      <w:r/>
      <w:bookmarkStart w:id="21" w:name="_Toc92096774"/>
      <w:r/>
      <w:bookmarkEnd w:id="21"/>
      <w:r/>
      <w:r/>
    </w:p>
    <w:p>
      <w:pPr>
        <w:pStyle w:val="632"/>
        <w:numPr>
          <w:ilvl w:val="0"/>
          <w:numId w:val="10"/>
        </w:numPr>
        <w:keepLines/>
        <w:keepNext/>
        <w:spacing w:lineRule="auto" w:line="416" w:after="260" w:before="260"/>
        <w:widowControl/>
        <w:rPr>
          <w:rFonts w:ascii="Arial" w:hAnsi="Arial" w:cs="Times New Roman" w:eastAsia="黑体"/>
          <w:b/>
          <w:bCs/>
          <w:vanish/>
          <w:sz w:val="24"/>
          <w:szCs w:val="24"/>
        </w:rPr>
        <w:outlineLvl w:val="1"/>
      </w:pPr>
      <w:r/>
      <w:bookmarkStart w:id="22" w:name="_Toc92096775"/>
      <w:r/>
      <w:bookmarkEnd w:id="22"/>
      <w:r/>
      <w:r/>
    </w:p>
    <w:p>
      <w:pPr>
        <w:pStyle w:val="632"/>
        <w:numPr>
          <w:ilvl w:val="0"/>
          <w:numId w:val="10"/>
        </w:numPr>
        <w:keepLines/>
        <w:keepNext/>
        <w:spacing w:lineRule="auto" w:line="416" w:after="260" w:before="260"/>
        <w:widowControl/>
        <w:rPr>
          <w:rFonts w:ascii="Arial" w:hAnsi="Arial" w:cs="Times New Roman" w:eastAsia="黑体"/>
          <w:b/>
          <w:bCs/>
          <w:vanish/>
          <w:sz w:val="24"/>
          <w:szCs w:val="24"/>
        </w:rPr>
        <w:outlineLvl w:val="1"/>
      </w:pPr>
      <w:r/>
      <w:bookmarkStart w:id="23" w:name="_Toc92096776"/>
      <w:r/>
      <w:bookmarkEnd w:id="23"/>
      <w:r/>
      <w:r/>
    </w:p>
    <w:p>
      <w:pPr>
        <w:pStyle w:val="632"/>
        <w:numPr>
          <w:ilvl w:val="0"/>
          <w:numId w:val="10"/>
        </w:numPr>
        <w:keepLines/>
        <w:keepNext/>
        <w:spacing w:lineRule="auto" w:line="416" w:after="260" w:before="260"/>
        <w:widowControl/>
        <w:rPr>
          <w:rFonts w:ascii="Arial" w:hAnsi="Arial" w:cs="Times New Roman" w:eastAsia="黑体"/>
          <w:b/>
          <w:bCs/>
          <w:vanish/>
          <w:sz w:val="24"/>
          <w:szCs w:val="24"/>
        </w:rPr>
        <w:outlineLvl w:val="1"/>
      </w:pPr>
      <w:r/>
      <w:bookmarkStart w:id="24" w:name="_Toc92096777"/>
      <w:r/>
      <w:bookmarkEnd w:id="24"/>
      <w:r/>
      <w:r/>
    </w:p>
    <w:p>
      <w:pPr>
        <w:pStyle w:val="632"/>
        <w:numPr>
          <w:ilvl w:val="0"/>
          <w:numId w:val="10"/>
        </w:numPr>
        <w:keepLines/>
        <w:keepNext/>
        <w:spacing w:lineRule="auto" w:line="416" w:after="260" w:before="260"/>
        <w:widowControl/>
        <w:rPr>
          <w:rFonts w:ascii="Arial" w:hAnsi="Arial" w:cs="Times New Roman" w:eastAsia="黑体"/>
          <w:b/>
          <w:bCs/>
          <w:vanish/>
          <w:sz w:val="24"/>
          <w:szCs w:val="24"/>
        </w:rPr>
        <w:outlineLvl w:val="1"/>
      </w:pPr>
      <w:r/>
      <w:bookmarkStart w:id="25" w:name="_Toc92096778"/>
      <w:r/>
      <w:bookmarkEnd w:id="25"/>
      <w:r/>
      <w:r/>
    </w:p>
    <w:p>
      <w:pPr>
        <w:pStyle w:val="598"/>
        <w:numPr>
          <w:ilvl w:val="1"/>
          <w:numId w:val="10"/>
        </w:numPr>
        <w:rPr>
          <w:sz w:val="24"/>
          <w:szCs w:val="24"/>
        </w:rPr>
      </w:pPr>
      <w:r/>
      <w:bookmarkStart w:id="26" w:name="_Toc92096779"/>
      <w:r>
        <w:rPr>
          <w:rFonts w:hint="eastAsia"/>
          <w:sz w:val="24"/>
          <w:szCs w:val="24"/>
        </w:rPr>
        <w:t xml:space="preserve">渗透风量</w:t>
      </w:r>
      <w:bookmarkEnd w:id="26"/>
      <w:r/>
      <w:r/>
    </w:p>
    <w:p>
      <w:pPr>
        <w:ind w:left="-36" w:firstLine="420"/>
        <w:rPr>
          <w:rFonts w:ascii="宋体" w:hAnsi="宋体" w:eastAsia="宋体"/>
        </w:rPr>
      </w:pPr>
      <w:r>
        <w:rPr>
          <w:rFonts w:ascii="宋体" w:hAnsi="宋体" w:eastAsia="宋体" w:hint="eastAsia"/>
        </w:rPr>
        <w:t xml:space="preserve">渗透风量</w:t>
      </w:r>
      <w:r>
        <w:rPr>
          <w:rFonts w:ascii="宋体" w:hAnsi="宋体" w:eastAsia="宋体" w:hint="eastAsia"/>
        </w:rPr>
        <w:t xml:space="preserve">可</w:t>
      </w:r>
      <w:r>
        <w:rPr>
          <w:rFonts w:ascii="Times New Roman" w:hAnsi="Times New Roman" w:cs="Times New Roman" w:eastAsia="宋体"/>
        </w:rPr>
        <w:t xml:space="preserve">通过</w:t>
      </w:r>
      <w:r>
        <w:rPr>
          <w:rFonts w:ascii="Times New Roman" w:hAnsi="Times New Roman" w:cs="Times New Roman" w:eastAsia="宋体"/>
          <w:b/>
        </w:rPr>
        <w:t xml:space="preserve">门窗气密性</w:t>
      </w:r>
      <w:r>
        <w:rPr>
          <w:rFonts w:ascii="Times New Roman" w:hAnsi="Times New Roman" w:cs="Times New Roman" w:eastAsia="宋体"/>
        </w:rPr>
        <w:t xml:space="preserve">或</w:t>
      </w:r>
      <w:r>
        <w:rPr>
          <w:rFonts w:ascii="Times New Roman" w:hAnsi="Times New Roman" w:cs="Times New Roman" w:eastAsia="宋体"/>
          <w:b/>
        </w:rPr>
        <w:t xml:space="preserve">换气次数</w:t>
      </w:r>
      <w:r>
        <w:rPr>
          <w:rFonts w:ascii="Times New Roman" w:hAnsi="Times New Roman" w:cs="Times New Roman" w:eastAsia="宋体"/>
        </w:rPr>
        <w:t xml:space="preserve">计算</w:t>
      </w:r>
      <w:r>
        <w:rPr>
          <w:rFonts w:ascii="Times New Roman" w:hAnsi="Times New Roman" w:cs="Times New Roman" w:eastAsia="宋体"/>
        </w:rPr>
        <w:t xml:space="preserve">，门窗气密性等级参考《建筑外门窗气密、水密、抗风压性能分级及检测方法》</w:t>
      </w:r>
      <w:r>
        <w:rPr>
          <w:rFonts w:ascii="Times New Roman" w:hAnsi="Times New Roman" w:cs="Times New Roman" w:eastAsia="宋体"/>
        </w:rPr>
        <w:t xml:space="preserve">GB/T 7106</w:t>
      </w:r>
      <w:r>
        <w:rPr>
          <w:rFonts w:ascii="Times New Roman" w:hAnsi="Times New Roman" w:cs="Times New Roman" w:eastAsia="宋体"/>
        </w:rPr>
        <w:t xml:space="preserve">中</w:t>
      </w:r>
      <w:r>
        <w:rPr>
          <w:rFonts w:ascii="Times New Roman" w:hAnsi="Times New Roman" w:cs="Times New Roman" w:eastAsia="宋体"/>
        </w:rPr>
        <w:t xml:space="preserve">1~8</w:t>
      </w:r>
      <w:r>
        <w:rPr>
          <w:rFonts w:ascii="Times New Roman" w:hAnsi="Times New Roman" w:cs="Times New Roman" w:eastAsia="宋体"/>
        </w:rPr>
        <w:t xml:space="preserve">级进行设置</w:t>
      </w:r>
      <w:r>
        <w:rPr>
          <w:rFonts w:ascii="Times New Roman" w:hAnsi="Times New Roman" w:cs="Times New Roman" w:eastAsia="宋体"/>
        </w:rPr>
        <w:t xml:space="preserve">；换气次数</w:t>
      </w:r>
      <w:r>
        <w:rPr>
          <w:rFonts w:ascii="Times New Roman" w:hAnsi="Times New Roman" w:cs="Times New Roman" w:eastAsia="宋体"/>
        </w:rPr>
        <w:t xml:space="preserve">选取</w:t>
      </w:r>
      <w:r>
        <w:rPr>
          <w:rFonts w:ascii="Times New Roman" w:hAnsi="Times New Roman" w:cs="Times New Roman" w:eastAsia="宋体"/>
        </w:rPr>
        <w:t xml:space="preserve">可参考建筑节能标准中的相关规定</w:t>
      </w:r>
      <w:r>
        <w:rPr>
          <w:rFonts w:ascii="Times New Roman" w:hAnsi="Times New Roman" w:cs="Times New Roman" w:eastAsia="宋体"/>
        </w:rPr>
        <w:t xml:space="preserve">。</w:t>
      </w:r>
      <w:r/>
    </w:p>
    <w:p>
      <w:pPr>
        <w:ind w:left="-36" w:firstLine="420"/>
        <w:rPr>
          <w:rFonts w:ascii="宋体" w:hAnsi="宋体" w:eastAsia="宋体"/>
        </w:rPr>
      </w:pPr>
      <w:r/>
      <w:bookmarkStart w:id="27" w:name="渗透风量"/>
      <w:r>
        <w:t xml:space="preserve">本项目忽略渗透风量的影响。</w:t>
      </w:r>
      <w:bookmarkEnd w:id="27"/>
      <w:r/>
      <w:r/>
    </w:p>
    <w:p>
      <w:pPr>
        <w:pStyle w:val="598"/>
        <w:rPr>
          <w:sz w:val="24"/>
          <w:szCs w:val="24"/>
        </w:rPr>
      </w:pPr>
      <w:r/>
      <w:bookmarkStart w:id="28" w:name="_Toc92096780"/>
      <w:r>
        <w:rPr>
          <w:rFonts w:hint="eastAsia"/>
          <w:sz w:val="24"/>
          <w:szCs w:val="24"/>
        </w:rPr>
        <w:t xml:space="preserve">室内颗粒物源强</w:t>
      </w:r>
      <w:bookmarkEnd w:id="28"/>
      <w:r/>
      <w:r/>
    </w:p>
    <w:p>
      <w:pPr>
        <w:ind w:left="424"/>
        <w:rPr>
          <w:rFonts w:ascii="宋体" w:hAnsi="宋体" w:eastAsia="宋体"/>
        </w:rPr>
      </w:pPr>
      <w:r/>
      <w:bookmarkStart w:id="29" w:name="室内颗粒物源强表"/>
      <w:r>
        <w:t xml:space="preserve">该项目室内颗粒物源强为0。</w:t>
      </w:r>
      <w:bookmarkEnd w:id="29"/>
      <w:r/>
      <w:r/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</w:r>
      <w:r/>
    </w:p>
    <w:p>
      <w:pPr>
        <w:pStyle w:val="598"/>
        <w:rPr>
          <w:sz w:val="24"/>
          <w:szCs w:val="24"/>
        </w:rPr>
      </w:pPr>
      <w:r/>
      <w:bookmarkStart w:id="30" w:name="_Toc92096781"/>
      <w:r>
        <w:rPr>
          <w:rFonts w:hint="eastAsia"/>
          <w:sz w:val="24"/>
          <w:szCs w:val="24"/>
        </w:rPr>
        <w:t xml:space="preserve">室外颗粒物污染源浓度</w:t>
      </w:r>
      <w:bookmarkEnd w:id="30"/>
      <w:r/>
      <w:r/>
    </w:p>
    <w:p>
      <w:pPr>
        <w:ind w:firstLine="420"/>
        <w:rPr>
          <w:rFonts w:ascii="Times New Roman" w:hAnsi="Times New Roman" w:cs="Times New Roman" w:eastAsia="宋体"/>
        </w:rPr>
      </w:pPr>
      <w:r>
        <w:rPr>
          <w:rFonts w:ascii="Times New Roman" w:hAnsi="Times New Roman" w:cs="Times New Roman" w:eastAsia="宋体"/>
        </w:rPr>
        <w:t xml:space="preserve">室外颗粒物浓度源于本项目所在地气象数据，包括</w:t>
      </w:r>
      <w:r>
        <w:rPr>
          <w:rFonts w:ascii="Times New Roman" w:hAnsi="Times New Roman" w:cs="Times New Roman" w:eastAsia="宋体"/>
        </w:rPr>
        <w:t xml:space="preserve">PM</w:t>
      </w:r>
      <w:r>
        <w:rPr>
          <w:rFonts w:ascii="Times New Roman" w:hAnsi="Times New Roman" w:cs="Times New Roman" w:eastAsia="宋体"/>
          <w:vertAlign w:val="subscript"/>
        </w:rPr>
        <w:t xml:space="preserve">2.5</w:t>
      </w:r>
      <w:r>
        <w:rPr>
          <w:rFonts w:ascii="Times New Roman" w:hAnsi="Times New Roman" w:cs="Times New Roman" w:eastAsia="宋体"/>
        </w:rPr>
        <w:t xml:space="preserve">和</w:t>
      </w:r>
      <w:r>
        <w:rPr>
          <w:rFonts w:ascii="Times New Roman" w:hAnsi="Times New Roman" w:cs="Times New Roman" w:eastAsia="宋体"/>
        </w:rPr>
        <w:t xml:space="preserve">PM</w:t>
      </w:r>
      <w:r>
        <w:rPr>
          <w:rFonts w:ascii="Times New Roman" w:hAnsi="Times New Roman" w:cs="Times New Roman" w:eastAsia="宋体"/>
          <w:vertAlign w:val="subscript"/>
        </w:rPr>
        <w:t xml:space="preserve">10</w:t>
      </w:r>
      <w:r>
        <w:rPr>
          <w:rFonts w:ascii="Times New Roman" w:hAnsi="Times New Roman" w:cs="Times New Roman" w:eastAsia="宋体"/>
        </w:rPr>
        <w:t xml:space="preserve">全年室外浓度</w:t>
      </w:r>
      <w:r>
        <w:rPr>
          <w:rFonts w:ascii="Times New Roman" w:hAnsi="Times New Roman" w:cs="Times New Roman" w:eastAsia="宋体"/>
        </w:rPr>
        <w:t xml:space="preserve">日均值</w:t>
      </w:r>
      <w:r>
        <w:rPr>
          <w:rFonts w:ascii="Times New Roman" w:hAnsi="Times New Roman" w:cs="Times New Roman" w:eastAsia="宋体"/>
        </w:rPr>
        <w:t xml:space="preserve">，见下图</w:t>
      </w:r>
      <w:r>
        <w:rPr>
          <w:rFonts w:ascii="Times New Roman" w:hAnsi="Times New Roman" w:cs="Times New Roman" w:eastAsia="宋体"/>
        </w:rPr>
        <w:t xml:space="preserve">:</w:t>
      </w:r>
      <w:r/>
    </w:p>
    <w:p>
      <w:pPr>
        <w:jc w:val="center"/>
        <w:rPr>
          <w:rFonts w:ascii="Times New Roman" w:hAnsi="Times New Roman" w:cs="Times New Roman" w:eastAsia="宋体"/>
          <w:b/>
          <w:bCs/>
          <w:color w:val="000000"/>
        </w:rPr>
      </w:pPr>
      <w:r/>
      <w:bookmarkStart w:id="31" w:name="室外颗粒物逐时浓度图"/>
      <w:r/>
      <w:bookmarkEnd w:id="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3514725"/>
                <wp:effectExtent l="0" t="0" r="0" b="0"/>
                <wp:docPr id="13" name="图片 34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667375" cy="3514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446.3pt;height:276.8pt;" stroked="false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 xml:space="preserve">图5</w:t>
      </w:r>
      <w:r>
        <w:rPr>
          <w:rFonts w:ascii="微软雅黑" w:hAnsi="微软雅黑" w:eastAsia="微软雅黑" w:hint="eastAsia"/>
          <w:b/>
          <w:sz w:val="18"/>
        </w:rPr>
        <w:t xml:space="preserve">-</w:t>
      </w:r>
      <w:r>
        <w:rPr>
          <w:rFonts w:ascii="微软雅黑" w:hAnsi="微软雅黑" w:eastAsia="微软雅黑"/>
          <w:b/>
          <w:sz w:val="18"/>
        </w:rPr>
        <w:t xml:space="preserve">3</w:t>
      </w:r>
      <w:r>
        <w:rPr>
          <w:rFonts w:ascii="微软雅黑" w:hAnsi="微软雅黑" w:eastAsia="微软雅黑"/>
          <w:b/>
          <w:sz w:val="18"/>
        </w:rPr>
        <w:t xml:space="preserve">  室外颗粒物PM2.5和PM10浓度</w:t>
      </w:r>
      <w:r>
        <w:rPr>
          <w:rFonts w:ascii="微软雅黑" w:hAnsi="微软雅黑" w:eastAsia="微软雅黑" w:hint="eastAsia"/>
          <w:b/>
          <w:sz w:val="18"/>
        </w:rPr>
        <w:t xml:space="preserve">日均</w:t>
      </w:r>
      <w:r>
        <w:rPr>
          <w:rFonts w:ascii="微软雅黑" w:hAnsi="微软雅黑" w:eastAsia="微软雅黑"/>
          <w:b/>
          <w:sz w:val="18"/>
        </w:rPr>
        <w:t xml:space="preserve">值</w:t>
      </w:r>
      <w:r/>
    </w:p>
    <w:p>
      <w:pPr>
        <w:pStyle w:val="598"/>
        <w:rPr>
          <w:sz w:val="24"/>
          <w:szCs w:val="24"/>
        </w:rPr>
      </w:pPr>
      <w:r/>
      <w:bookmarkStart w:id="32" w:name="_Toc92096782"/>
      <w:r>
        <w:rPr>
          <w:rFonts w:hint="eastAsia"/>
          <w:sz w:val="24"/>
          <w:szCs w:val="24"/>
        </w:rPr>
        <w:t xml:space="preserve">房间</w:t>
      </w:r>
      <w:r>
        <w:rPr>
          <w:rFonts w:hint="eastAsia"/>
          <w:sz w:val="24"/>
          <w:szCs w:val="24"/>
        </w:rPr>
        <w:t xml:space="preserve">通风净化</w:t>
      </w:r>
      <w:bookmarkEnd w:id="32"/>
      <w:r/>
      <w:r/>
    </w:p>
    <w:p>
      <w:pPr>
        <w:jc w:val="center"/>
        <w:rPr>
          <w:rFonts w:ascii="宋体" w:hAnsi="宋体" w:eastAsia="宋体"/>
        </w:rPr>
      </w:pPr>
      <w:r/>
      <w:bookmarkStart w:id="33" w:name="房间及渗透风量表"/>
      <w:r/>
      <w:bookmarkEnd w:id="33"/>
      <w:r/>
      <w:r/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</w:r>
      <w:r/>
    </w:p>
    <w:p>
      <w:pPr>
        <w:jc w:val="center"/>
        <w:rPr>
          <w:rFonts w:ascii="宋体" w:hAnsi="宋体" w:eastAsia="宋体"/>
        </w:rPr>
      </w:pPr>
      <w:r/>
      <w:bookmarkStart w:id="34" w:name="通风净化表"/>
      <w:r/>
      <w:bookmarkEnd w:id="34"/>
      <w:r>
        <w:rPr>
          <w:rFonts w:ascii="宋体" w:hAnsi="宋体" w:eastAsia="宋体"/>
          <w:sz w:val="20"/>
          <w:szCs w:val="20"/>
        </w:rPr>
        <w:t xml:space="preserve">表5.4-1 开窗-空气净化器净化及对应参数表</w:t>
      </w:r>
      <w:r/>
    </w:p>
    <w:tbl>
      <w:tblPr>
        <w:tblW w:w="826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>
        <w:trPr/>
        <w:tc>
          <w:tcPr>
            <w:shd w:val="clear" w:fill="E6E6E6" w:color="E6E6E6"/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楼层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房间编号</w:t>
            </w:r>
            <w:r/>
          </w:p>
        </w:tc>
        <w:tc>
          <w:tcPr>
            <w:shd w:val="clear" w:fill="E6E6E6" w:color="E6E6E6"/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房间名称</w:t>
            </w:r>
            <w:r/>
          </w:p>
        </w:tc>
        <w:tc>
          <w:tcPr>
            <w:shd w:val="clear" w:fill="E6E6E6" w:color="E6E6E6"/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开窗通风量（</w:t>
            </w:r>
            <w:r>
              <w:rPr>
                <w:b/>
              </w:rPr>
              <w:t xml:space="preserve">m³/h</w:t>
            </w:r>
            <w:r>
              <w:rPr>
                <w:b/>
              </w:rPr>
              <w:t xml:space="preserve">）</w:t>
            </w:r>
            <w:r/>
          </w:p>
        </w:tc>
        <w:tc>
          <w:tcPr>
            <w:shd w:val="clear" w:fill="E6E6E6" w:color="E6E6E6"/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空气净化量（</w:t>
            </w:r>
            <w:r>
              <w:rPr>
                <w:b/>
              </w:rPr>
              <w:t xml:space="preserve">m³/h</w:t>
            </w:r>
            <w:r>
              <w:rPr>
                <w:b/>
              </w:rPr>
              <w:t xml:space="preserve">）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141.7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708.5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135.3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601.5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131.8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658.9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129.0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645.0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2005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127.3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636.6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2006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118.3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591.4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2007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112.7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563.7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2008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112.6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563.0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2009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112.5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562.3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112.2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110.8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554.1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105.8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528.8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103.7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518.6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288.0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2015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60.9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270.8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2016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39.7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198.5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2017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2018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2019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115.2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2080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133.1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129.9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649.5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116.3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581.4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132.5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116.7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583.4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560.0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119.1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595.5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36.0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145.7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31.5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127.4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115.3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3006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114.0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570.0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3007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560.1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3009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111.4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557.0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111.0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554.8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108.3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541.6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108.0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539.9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47.9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193.8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38.3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154.8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3017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127.0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3018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126.9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3019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115.5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133.9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669.3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133.9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669.4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131.8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658.9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4005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129.2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646.1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4006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129.2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646.0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4007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129.4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647.1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4008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129.0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644.8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4009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127.1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635.5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127.0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635.0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114.4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572.0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112.2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560.8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106.0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530.1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4015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4016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4018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115.2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115.4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129.0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119.1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595.7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35.6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178.0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128.4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642.1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74.9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374.4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116.9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584.5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109.4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546.8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111.6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557.9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113.6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568.0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563.8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38.3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155.0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127.0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115.3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25.4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126.9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116.4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116.8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584.0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5006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116.7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583.5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108.1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540.7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5012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38.0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154.0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5013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122.0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5018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115.5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5020</w:t>
            </w:r>
            <w:r/>
          </w:p>
        </w:tc>
        <w:tc>
          <w:tcPr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</w:t>
            </w:r>
            <w:r/>
          </w:p>
        </w:tc>
        <w:tc>
          <w:tcPr>
            <w:tcW w:w="2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115.5</w:t>
            </w:r>
            <w:r/>
          </w:p>
        </w:tc>
      </w:tr>
    </w:tbl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</w:r>
      <w:r/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  <w:sz w:val="20"/>
          <w:szCs w:val="20"/>
        </w:rPr>
        <w:t xml:space="preserve">表</w:t>
      </w:r>
      <w:r>
        <w:rPr>
          <w:rFonts w:ascii="宋体" w:hAnsi="宋体" w:eastAsia="宋体"/>
          <w:sz w:val="20"/>
          <w:szCs w:val="20"/>
        </w:rPr>
        <w:t xml:space="preserve">5.4-2 </w:t>
      </w:r>
      <w:r>
        <w:rPr>
          <w:rFonts w:ascii="宋体" w:hAnsi="宋体" w:eastAsia="宋体"/>
          <w:sz w:val="20"/>
          <w:szCs w:val="20"/>
        </w:rPr>
        <w:t xml:space="preserve">新风加回风系统及对应参数表</w:t>
      </w:r>
      <w:r/>
    </w:p>
    <w:tbl>
      <w:tblPr>
        <w:tblW w:w="826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>
        <w:trPr/>
        <w:tc>
          <w:tcPr>
            <w:shd w:val="clear" w:fill="E6E6E6" w:color="E6E6E6"/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楼层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房间编号</w:t>
            </w:r>
            <w:r/>
          </w:p>
        </w:tc>
        <w:tc>
          <w:tcPr>
            <w:shd w:val="clear" w:fill="E6E6E6" w:color="E6E6E6"/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房间名称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新风量</w:t>
            </w:r>
            <w:r>
              <w:rPr>
                <w:b/>
              </w:rPr>
              <w:br/>
            </w:r>
            <w:r>
              <w:rPr>
                <w:b/>
              </w:rPr>
              <w:t xml:space="preserve">（</w:t>
            </w:r>
            <w:r>
              <w:rPr>
                <w:b/>
              </w:rPr>
              <w:t xml:space="preserve">m³/h</w:t>
            </w:r>
            <w:r>
              <w:rPr>
                <w:b/>
              </w:rPr>
              <w:t xml:space="preserve">）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新风</w:t>
            </w:r>
            <w:r>
              <w:rPr>
                <w:b/>
              </w:rPr>
              <w:br/>
            </w:r>
            <w:r>
              <w:rPr>
                <w:b/>
              </w:rPr>
              <w:t xml:space="preserve">净化效率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回风量</w:t>
            </w:r>
            <w:r>
              <w:rPr>
                <w:b/>
              </w:rPr>
              <w:br/>
            </w:r>
            <w:r>
              <w:rPr>
                <w:b/>
              </w:rPr>
              <w:t xml:space="preserve">（</w:t>
            </w:r>
            <w:r>
              <w:rPr>
                <w:b/>
              </w:rPr>
              <w:t xml:space="preserve">m³/h</w:t>
            </w:r>
            <w:r>
              <w:rPr>
                <w:b/>
              </w:rPr>
              <w:t xml:space="preserve">）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回风</w:t>
            </w:r>
            <w:r>
              <w:rPr>
                <w:b/>
              </w:rPr>
              <w:br/>
            </w:r>
            <w:r>
              <w:rPr>
                <w:b/>
              </w:rPr>
              <w:t xml:space="preserve">净化效率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1001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1700.8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5669.3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1002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1700.0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5666.6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1003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1629.2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5430.8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1004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1163.9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3879.6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1005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1120.7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3735.8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1006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1096.0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3653.4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1007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1086.9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3623.2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1008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1078.8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3596.1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1009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616.7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2055.6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  <w:tr>
        <w:trPr/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4001</w:t>
            </w:r>
            <w:r/>
          </w:p>
        </w:tc>
        <w:tc>
          <w:tcPr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1143.9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3812.9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</w:t>
            </w:r>
            <w:r/>
          </w:p>
        </w:tc>
      </w:tr>
    </w:tbl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</w:r>
      <w:r/>
    </w:p>
    <w:p>
      <w:pPr>
        <w:pStyle w:val="597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eastAsia="黑体"/>
          <w:sz w:val="28"/>
          <w:szCs w:val="28"/>
        </w:rPr>
      </w:pPr>
      <w:r/>
      <w:bookmarkStart w:id="35" w:name="_Toc92096783"/>
      <w:r>
        <w:rPr>
          <w:rFonts w:ascii="黑体" w:hAnsi="黑体" w:eastAsia="黑体" w:hint="eastAsia"/>
          <w:sz w:val="28"/>
          <w:szCs w:val="28"/>
        </w:rPr>
        <w:t xml:space="preserve">计算结果</w:t>
      </w:r>
      <w:bookmarkEnd w:id="35"/>
      <w:r/>
      <w:r/>
    </w:p>
    <w:p>
      <w:pPr>
        <w:ind w:firstLine="420"/>
        <w:spacing w:after="156"/>
        <w:rPr>
          <w:rFonts w:ascii="宋体" w:hAnsi="宋体" w:eastAsia="宋体"/>
        </w:rPr>
      </w:pPr>
      <w:r>
        <w:rPr>
          <w:rFonts w:ascii="宋体" w:hAnsi="宋体" w:eastAsia="宋体" w:hint="eastAsia"/>
        </w:rPr>
        <w:t xml:space="preserve">本项目按照标准对参评房间颗粒物进行计算，并对照标准进行达标判定，结果如下：</w:t>
      </w:r>
      <w:r/>
    </w:p>
    <w:p>
      <w:pPr>
        <w:jc w:val="center"/>
        <w:rPr>
          <w:rFonts w:ascii="微软雅黑" w:hAnsi="微软雅黑" w:cs="Times New Roman" w:eastAsia="微软雅黑"/>
          <w:b/>
        </w:rPr>
      </w:pPr>
      <w:r>
        <w:rPr>
          <w:rFonts w:ascii="微软雅黑" w:hAnsi="微软雅黑" w:cs="Times New Roman" w:eastAsia="微软雅黑"/>
          <w:b/>
          <w:bCs/>
        </w:rPr>
        <w:t xml:space="preserve">表6.1  各房间室内颗粒物年平均浓度及达标判定</w:t>
      </w:r>
      <w:r>
        <w:rPr>
          <w:rFonts w:ascii="微软雅黑" w:hAnsi="微软雅黑" w:cs="Times New Roman" w:eastAsia="微软雅黑"/>
          <w:b/>
          <w:bCs/>
        </w:rPr>
        <w:t xml:space="preserve">（单位：μg/m³）</w:t>
      </w:r>
      <w:r>
        <w:rPr>
          <w:rFonts w:ascii="微软雅黑" w:hAnsi="微软雅黑" w:cs="Times New Roman" w:eastAsia="微软雅黑" w:hint="eastAsia"/>
          <w:b/>
          <w:bCs/>
        </w:rPr>
        <w:t xml:space="preserve">-评分项</w:t>
      </w:r>
      <w:r/>
    </w:p>
    <w:tbl>
      <w:tblPr>
        <w:tblW w:w="826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>
        <w:trPr/>
        <w:tc>
          <w:tcPr>
            <w:shd w:val="clear" w:fill="E6E6E6" w:color="E6E6E6"/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楼层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房间编号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房间名称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PM2.5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PM10</w:t>
            </w:r>
            <w:r/>
          </w:p>
        </w:tc>
        <w:tc>
          <w:tcPr>
            <w:shd w:val="clear" w:fill="E6E6E6" w:color="E6E6E6"/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评分项是否达标</w:t>
            </w:r>
            <w:r>
              <w:rPr>
                <w:b/>
              </w:rPr>
              <w:br/>
              <w:t xml:space="preserve">PM2.5≤25 </w:t>
            </w:r>
            <w:r>
              <w:rPr>
                <w:b/>
              </w:rPr>
              <w:t xml:space="preserve">PM10≤50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2080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4007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5006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5018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5020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</w:tbl>
    <w:p>
      <w:pPr>
        <w:jc w:val="center"/>
        <w:rPr>
          <w:rFonts w:ascii="宋体" w:hAnsi="宋体" w:eastAsia="宋体"/>
          <w:b/>
        </w:rPr>
      </w:pPr>
      <w:r/>
      <w:bookmarkStart w:id="36" w:name="室内颗粒物达标判定表"/>
      <w:r/>
      <w:bookmarkEnd w:id="36"/>
      <w:r/>
      <w:r/>
    </w:p>
    <w:p>
      <w:pPr>
        <w:jc w:val="center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</w:r>
      <w:r/>
    </w:p>
    <w:p>
      <w:pPr>
        <w:jc w:val="center"/>
        <w:rPr>
          <w:rFonts w:ascii="宋体" w:hAnsi="宋体" w:eastAsia="宋体"/>
          <w:b/>
        </w:rPr>
      </w:pPr>
      <w:r/>
      <w:bookmarkStart w:id="37" w:name="颗粒物达标判定图"/>
      <w:r/>
      <w:bookmarkEnd w:id="37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3543300"/>
                <wp:effectExtent l="0" t="0" r="0" b="0"/>
                <wp:docPr id="14" name="图片 35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667375" cy="3543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446.3pt;height:279.0pt;" stroked="false">
                <v:path textboxrect="0,0,0,0"/>
                <v:imagedata r:id="rId27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</w:rPr>
        <w:t xml:space="preserve">图6-1 颗粒物</w:t>
      </w:r>
      <w:r>
        <w:rPr>
          <w:rFonts w:ascii="微软雅黑" w:hAnsi="微软雅黑" w:eastAsia="微软雅黑" w:hint="eastAsia"/>
          <w:b/>
          <w:sz w:val="18"/>
        </w:rPr>
        <w:t xml:space="preserve">年均值</w:t>
      </w:r>
      <w:r>
        <w:rPr>
          <w:rFonts w:ascii="微软雅黑" w:hAnsi="微软雅黑" w:eastAsia="微软雅黑"/>
          <w:b/>
          <w:sz w:val="18"/>
        </w:rPr>
        <w:t xml:space="preserve">达标判定图</w:t>
      </w:r>
      <w:r/>
    </w:p>
    <w:p>
      <w:pPr>
        <w:jc w:val="center"/>
        <w:rPr>
          <w:rFonts w:ascii="Times New Roman" w:hAnsi="Times New Roman" w:cs="Times New Roman" w:eastAsia="宋体"/>
          <w:b/>
          <w:sz w:val="21"/>
          <w:szCs w:val="21"/>
        </w:rPr>
      </w:pPr>
      <w:r>
        <w:rPr>
          <w:rFonts w:ascii="Times New Roman" w:hAnsi="Times New Roman" w:cs="Times New Roman" w:eastAsia="宋体"/>
          <w:b/>
          <w:sz w:val="21"/>
          <w:szCs w:val="21"/>
        </w:rPr>
      </w:r>
      <w:r/>
    </w:p>
    <w:p>
      <w:pPr>
        <w:jc w:val="center"/>
        <w:rPr>
          <w:rFonts w:ascii="微软雅黑" w:hAnsi="微软雅黑" w:cs="Times New Roman" w:eastAsia="微软雅黑"/>
          <w:b/>
        </w:rPr>
      </w:pPr>
      <w:r>
        <w:rPr>
          <w:rFonts w:ascii="微软雅黑" w:hAnsi="微软雅黑" w:cs="Times New Roman" w:eastAsia="微软雅黑"/>
          <w:b/>
          <w:bCs/>
        </w:rPr>
        <w:t xml:space="preserve">表6.2  各房间室内颗粒物</w:t>
      </w:r>
      <w:r>
        <w:rPr>
          <w:rFonts w:ascii="微软雅黑" w:hAnsi="微软雅黑" w:cs="Times New Roman" w:eastAsia="微软雅黑" w:hint="eastAsia"/>
          <w:b/>
          <w:bCs/>
        </w:rPr>
        <w:t xml:space="preserve">P</w:t>
      </w:r>
      <w:r>
        <w:rPr>
          <w:rFonts w:ascii="微软雅黑" w:hAnsi="微软雅黑" w:cs="Times New Roman" w:eastAsia="微软雅黑"/>
          <w:b/>
          <w:bCs/>
        </w:rPr>
        <w:t xml:space="preserve">M</w:t>
      </w:r>
      <w:r>
        <w:rPr>
          <w:rFonts w:ascii="微软雅黑" w:hAnsi="微软雅黑" w:cs="Times New Roman" w:eastAsia="微软雅黑"/>
          <w:b/>
          <w:bCs/>
          <w:vertAlign w:val="subscript"/>
        </w:rPr>
        <w:t xml:space="preserve">10</w:t>
      </w:r>
      <w:r>
        <w:rPr>
          <w:rFonts w:ascii="微软雅黑" w:hAnsi="微软雅黑" w:cs="Times New Roman" w:eastAsia="微软雅黑" w:hint="eastAsia"/>
          <w:b/>
          <w:bCs/>
        </w:rPr>
        <w:t xml:space="preserve">日</w:t>
      </w:r>
      <w:r>
        <w:rPr>
          <w:rFonts w:ascii="微软雅黑" w:hAnsi="微软雅黑" w:cs="Times New Roman" w:eastAsia="微软雅黑"/>
          <w:b/>
          <w:bCs/>
        </w:rPr>
        <w:t xml:space="preserve">平均浓度及达标判定（单位：mg/m³）</w:t>
      </w:r>
      <w:r>
        <w:rPr>
          <w:rFonts w:ascii="微软雅黑" w:hAnsi="微软雅黑" w:cs="Times New Roman" w:eastAsia="微软雅黑" w:hint="eastAsia"/>
          <w:b/>
          <w:bCs/>
        </w:rPr>
        <w:t xml:space="preserve">-技术项</w:t>
      </w:r>
      <w:r/>
    </w:p>
    <w:tbl>
      <w:tblPr>
        <w:tblW w:w="826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>
        <w:trPr/>
        <w:tc>
          <w:tcPr>
            <w:shd w:val="clear" w:fill="E6E6E6" w:color="E6E6E6"/>
            <w:tcW w:w="6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楼层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房间编号</w:t>
            </w:r>
            <w:r/>
          </w:p>
        </w:tc>
        <w:tc>
          <w:tcPr>
            <w:shd w:val="clear" w:fill="E6E6E6" w:color="E6E6E6"/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房间名称</w:t>
            </w:r>
            <w:r/>
          </w:p>
        </w:tc>
        <w:tc>
          <w:tcPr>
            <w:shd w:val="clear" w:fill="E6E6E6" w:color="E6E6E6"/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浓度值</w:t>
            </w:r>
            <w:r/>
          </w:p>
        </w:tc>
        <w:tc>
          <w:tcPr>
            <w:shd w:val="clear" w:fill="E6E6E6" w:color="E6E6E6"/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一</w:t>
            </w:r>
            <w:r>
              <w:rPr>
                <w:b/>
              </w:rPr>
              <w:t xml:space="preserve">星级</w:t>
            </w:r>
            <w:r>
              <w:rPr>
                <w:b/>
              </w:rPr>
              <w:br/>
              <w:t xml:space="preserve">&lt;0.135</w:t>
            </w:r>
            <w:r>
              <w:rPr>
                <w:b/>
              </w:rPr>
              <w:t xml:space="preserve">（降低</w:t>
            </w:r>
            <w:r>
              <w:rPr>
                <w:b/>
              </w:rPr>
              <w:t xml:space="preserve">10%</w:t>
            </w:r>
            <w:r>
              <w:rPr>
                <w:b/>
              </w:rPr>
              <w:t xml:space="preserve">）</w:t>
            </w:r>
            <w:r/>
          </w:p>
        </w:tc>
        <w:tc>
          <w:tcPr>
            <w:shd w:val="clear" w:fill="E6E6E6" w:color="E6E6E6"/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二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三星级</w:t>
            </w:r>
            <w:r>
              <w:rPr>
                <w:b/>
              </w:rPr>
              <w:br/>
              <w:t xml:space="preserve">&lt;0.12</w:t>
            </w:r>
            <w:r>
              <w:rPr>
                <w:b/>
              </w:rPr>
              <w:t xml:space="preserve">（降低</w:t>
            </w:r>
            <w:r>
              <w:rPr>
                <w:b/>
              </w:rPr>
              <w:t xml:space="preserve">20%</w:t>
            </w:r>
            <w:r>
              <w:rPr>
                <w:b/>
              </w:rPr>
              <w:t xml:space="preserve">）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1007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1008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1009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0.042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2007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2008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2009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0.042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0.042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2017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2018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2019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2080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3007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3009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3017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3018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3019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4007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4008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4009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4018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5006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5012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5013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0.046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5018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5020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0.038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21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</w:tr>
    </w:tbl>
    <w:p>
      <w:pPr>
        <w:jc w:val="center"/>
        <w:rPr>
          <w:rFonts w:ascii="Times New Roman" w:hAnsi="Times New Roman" w:cs="Times New Roman" w:eastAsia="宋体"/>
          <w:b/>
          <w:sz w:val="21"/>
          <w:szCs w:val="21"/>
        </w:rPr>
      </w:pPr>
      <w:r/>
      <w:bookmarkStart w:id="38" w:name="室内PM10日均值达标判定表"/>
      <w:r/>
      <w:bookmarkEnd w:id="38"/>
      <w:r/>
      <w:r/>
    </w:p>
    <w:p>
      <w:pPr>
        <w:jc w:val="center"/>
        <w:rPr>
          <w:rFonts w:ascii="Times New Roman" w:hAnsi="Times New Roman" w:cs="Times New Roman" w:eastAsia="宋体"/>
          <w:b/>
          <w:sz w:val="21"/>
          <w:szCs w:val="21"/>
        </w:rPr>
      </w:pPr>
      <w:r>
        <w:rPr>
          <w:rFonts w:ascii="Times New Roman" w:hAnsi="Times New Roman" w:cs="Times New Roman" w:eastAsia="宋体"/>
          <w:b/>
          <w:sz w:val="21"/>
          <w:szCs w:val="21"/>
        </w:rPr>
      </w:r>
      <w:r/>
    </w:p>
    <w:p>
      <w:pPr>
        <w:jc w:val="center"/>
        <w:rPr>
          <w:rFonts w:ascii="Times New Roman" w:hAnsi="Times New Roman" w:cs="Times New Roman" w:eastAsia="宋体"/>
          <w:b/>
          <w:sz w:val="21"/>
          <w:szCs w:val="21"/>
        </w:rPr>
      </w:pPr>
      <w:r/>
      <w:bookmarkStart w:id="39" w:name="PM10日均值达标判定图"/>
      <w:r/>
      <w:bookmarkEnd w:id="39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3209925"/>
                <wp:effectExtent l="0" t="0" r="0" b="0"/>
                <wp:docPr id="15" name="图片 36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667375" cy="3209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mso-wrap-distance-left:0.0pt;mso-wrap-distance-top:0.0pt;mso-wrap-distance-right:0.0pt;mso-wrap-distance-bottom:0.0pt;width:446.3pt;height:252.8pt;" stroked="false">
                <v:path textboxrect="0,0,0,0"/>
                <v:imagedata r:id="rId28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 xml:space="preserve">图6-</w:t>
      </w:r>
      <w:r>
        <w:rPr>
          <w:rFonts w:ascii="微软雅黑" w:hAnsi="微软雅黑" w:eastAsia="微软雅黑" w:hint="eastAsia"/>
          <w:b/>
          <w:sz w:val="18"/>
        </w:rPr>
        <w:t xml:space="preserve">2</w:t>
      </w:r>
      <w:r>
        <w:rPr>
          <w:rFonts w:ascii="微软雅黑" w:hAnsi="微软雅黑" w:eastAsia="微软雅黑"/>
          <w:b/>
          <w:sz w:val="18"/>
        </w:rPr>
        <w:t xml:space="preserve"> PM10</w:t>
      </w:r>
      <w:r>
        <w:rPr>
          <w:rFonts w:ascii="微软雅黑" w:hAnsi="微软雅黑" w:eastAsia="微软雅黑" w:hint="eastAsia"/>
          <w:b/>
          <w:sz w:val="18"/>
        </w:rPr>
        <w:t xml:space="preserve">日均值</w:t>
      </w:r>
      <w:r>
        <w:rPr>
          <w:rFonts w:ascii="微软雅黑" w:hAnsi="微软雅黑" w:eastAsia="微软雅黑"/>
          <w:b/>
          <w:sz w:val="18"/>
        </w:rPr>
        <w:t xml:space="preserve">图</w:t>
      </w:r>
      <w:r/>
    </w:p>
    <w:p>
      <w:pPr>
        <w:jc w:val="center"/>
        <w:rPr>
          <w:rFonts w:ascii="Times New Roman" w:hAnsi="Times New Roman" w:cs="Times New Roman" w:eastAsia="宋体"/>
          <w:b/>
          <w:sz w:val="21"/>
          <w:szCs w:val="21"/>
        </w:rPr>
      </w:pPr>
      <w:r>
        <w:rPr>
          <w:rFonts w:ascii="Times New Roman" w:hAnsi="Times New Roman" w:cs="Times New Roman" w:eastAsia="宋体"/>
          <w:b/>
          <w:sz w:val="21"/>
          <w:szCs w:val="21"/>
        </w:rPr>
      </w:r>
      <w:r/>
    </w:p>
    <w:p>
      <w:pPr>
        <w:pStyle w:val="597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eastAsia="黑体"/>
          <w:sz w:val="28"/>
          <w:szCs w:val="28"/>
        </w:rPr>
      </w:pPr>
      <w:r/>
      <w:bookmarkStart w:id="40" w:name="_Toc92096784"/>
      <w:r>
        <w:rPr>
          <w:rFonts w:ascii="黑体" w:hAnsi="黑体" w:eastAsia="黑体" w:hint="eastAsia"/>
          <w:sz w:val="28"/>
          <w:szCs w:val="28"/>
        </w:rPr>
        <w:t xml:space="preserve">结论</w:t>
      </w:r>
      <w:bookmarkEnd w:id="40"/>
      <w:r/>
      <w:r/>
    </w:p>
    <w:p>
      <w:pPr>
        <w:ind w:firstLine="420"/>
        <w:spacing w:after="156"/>
        <w:rPr>
          <w:rFonts w:ascii="宋体" w:hAnsi="宋体" w:eastAsia="宋体"/>
        </w:rPr>
      </w:pPr>
      <w:r>
        <w:rPr>
          <w:rFonts w:ascii="宋体" w:hAnsi="宋体" w:eastAsia="宋体" w:hint="eastAsia"/>
        </w:rPr>
        <w:t xml:space="preserve">本项目按照标准要求对所有参评房间进行了颗粒物浓度的计算，并对结果进行评价如下：</w:t>
      </w:r>
      <w:r/>
    </w:p>
    <w:tbl>
      <w:tblPr>
        <w:tblW w:w="8276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>
        <w:trPr>
          <w:trHeight w:val="567"/>
        </w:trPr>
        <w:tc>
          <w:tcPr>
            <w:shd w:val="clear" w:fill="D0CECE" w:color="D0CECE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检查项</w:t>
            </w:r>
            <w:r/>
          </w:p>
        </w:tc>
        <w:tc>
          <w:tcPr>
            <w:shd w:val="clear" w:fill="D0CECE" w:color="D0CECE"/>
            <w:tcW w:w="3227" w:type="dxa"/>
            <w:vAlign w:val="center"/>
            <w:textDirection w:val="lrTb"/>
            <w:noWrap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评价依据</w:t>
            </w:r>
            <w:r/>
          </w:p>
        </w:tc>
        <w:tc>
          <w:tcPr>
            <w:shd w:val="clear" w:fill="D0CECE" w:color="D0CECE"/>
            <w:tcW w:w="2555" w:type="dxa"/>
            <w:vAlign w:val="center"/>
            <w:textDirection w:val="lrTb"/>
            <w:noWrap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计算结果</w:t>
            </w:r>
            <w:r/>
          </w:p>
        </w:tc>
        <w:tc>
          <w:tcPr>
            <w:shd w:val="clear" w:fill="D0CECE" w:color="D0CECE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结论</w:t>
            </w:r>
            <w:r/>
          </w:p>
        </w:tc>
        <w:tc>
          <w:tcPr>
            <w:shd w:val="clear" w:fill="D0CECE" w:color="D0CECE"/>
            <w:tcW w:w="794" w:type="dxa"/>
            <w:vAlign w:val="center"/>
            <w:textDirection w:val="lrTb"/>
            <w:noWrap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等线" w:hAnsi="等线" w:cs="新宋体" w:hint="eastAsia"/>
                <w:b/>
                <w:bCs/>
                <w:color w:val="000000"/>
                <w:sz w:val="20"/>
                <w:szCs w:val="19"/>
              </w:rPr>
              <w:t xml:space="preserve">得分</w:t>
            </w:r>
            <w:r/>
          </w:p>
        </w:tc>
      </w:tr>
      <w:tr>
        <w:trPr>
          <w:trHeight w:val="1510"/>
        </w:trPr>
        <w:tc>
          <w:tcPr>
            <w:shd w:val="clear" w:fill="D0CECE" w:color="D0CECE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/>
                <w:b/>
                <w:color w:val="000000"/>
                <w:sz w:val="20"/>
                <w:szCs w:val="19"/>
              </w:rPr>
            </w:pPr>
            <w:r>
              <w:rPr>
                <w:rFonts w:ascii="等线" w:hAnsi="等线" w:cs="Times New Roman" w:hint="eastAsia"/>
                <w:b/>
                <w:color w:val="000000"/>
                <w:sz w:val="20"/>
                <w:szCs w:val="19"/>
              </w:rPr>
              <w:t xml:space="preserve">评分项</w:t>
            </w:r>
            <w:r/>
          </w:p>
        </w:tc>
        <w:tc>
          <w:tcPr>
            <w:shd w:val="clear" w:color="auto" w:fill="auto"/>
            <w:tcW w:w="322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宋体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PM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  <w:vertAlign w:val="subscript"/>
              </w:rPr>
              <w:t xml:space="preserve">2.5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年均浓度不高于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25μg/m³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，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PM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  <w:vertAlign w:val="subscript"/>
              </w:rPr>
              <w:t xml:space="preserve">10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年均浓度不高于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50μg/m³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，</w:t>
            </w:r>
            <w:r/>
          </w:p>
          <w:p>
            <w:pPr>
              <w:jc w:val="left"/>
              <w:rPr>
                <w:rFonts w:ascii="Times New Roman" w:hAnsi="Times New Roman" w:cs="Times New Roman" w:eastAsia="宋体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评价分值为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 w:eastAsia="宋体"/>
                <w:bCs/>
                <w:sz w:val="20"/>
                <w:szCs w:val="20"/>
              </w:rPr>
              <w:t xml:space="preserve">分。</w:t>
            </w:r>
            <w:r/>
          </w:p>
        </w:tc>
        <w:tc>
          <w:tcPr>
            <w:shd w:val="clear" w:color="auto" w:fill="auto"/>
            <w:tcW w:w="255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宋体"/>
                <w:b/>
                <w:sz w:val="20"/>
                <w:szCs w:val="20"/>
              </w:rPr>
            </w:pPr>
            <w:r/>
            <w:bookmarkStart w:id="41" w:name="颗粒物计算结果"/>
            <w:r>
              <w:rPr>
                <w:rFonts w:ascii="Times New Roman" w:hAnsi="Times New Roman" w:cs="Times New Roman" w:eastAsia="宋体"/>
                <w:sz w:val="20"/>
                <w:szCs w:val="20"/>
              </w:rPr>
              <w:t xml:space="preserve">PM2.5</w:t>
            </w:r>
            <w:r>
              <w:rPr>
                <w:rFonts w:ascii="Times New Roman" w:hAnsi="Times New Roman" w:cs="Times New Roman" w:eastAsia="宋体"/>
                <w:sz w:val="20"/>
                <w:szCs w:val="20"/>
              </w:rPr>
              <w:t xml:space="preserve">年均浓度</w:t>
            </w:r>
            <w:r>
              <w:rPr>
                <w:rFonts w:ascii="Times New Roman" w:hAnsi="Times New Roman" w:cs="Times New Roman" w:eastAsia="宋体"/>
                <w:sz w:val="20"/>
                <w:szCs w:val="20"/>
              </w:rPr>
              <w:t xml:space="preserve">11μg/m³ PM10</w:t>
            </w:r>
            <w:r>
              <w:rPr>
                <w:rFonts w:ascii="Times New Roman" w:hAnsi="Times New Roman" w:cs="Times New Roman" w:eastAsia="宋体"/>
                <w:sz w:val="20"/>
                <w:szCs w:val="20"/>
              </w:rPr>
              <w:t xml:space="preserve">年均浓度</w:t>
            </w:r>
            <w:r>
              <w:rPr>
                <w:rFonts w:ascii="Times New Roman" w:hAnsi="Times New Roman" w:cs="Times New Roman" w:eastAsia="宋体"/>
                <w:sz w:val="20"/>
                <w:szCs w:val="20"/>
              </w:rPr>
              <w:t xml:space="preserve">17μg/m³</w:t>
            </w:r>
            <w:bookmarkEnd w:id="41"/>
            <w:r/>
            <w:r/>
          </w:p>
        </w:tc>
        <w:tc>
          <w:tcPr>
            <w:shd w:val="clear" w:fill="FFF2CC" w:color="FFF2CC" w:themeFill="accent4" w:themeFillTint="33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/>
            <w:bookmarkStart w:id="42" w:name="颗粒物评分项结论"/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满足</w:t>
            </w:r>
            <w:bookmarkEnd w:id="42"/>
            <w:r/>
            <w:r/>
          </w:p>
        </w:tc>
        <w:tc>
          <w:tcPr>
            <w:shd w:val="clear" w:fill="FFF2CC" w:color="FFF2CC" w:themeFill="accent4" w:themeFillTint="33"/>
            <w:tcW w:w="794" w:type="dxa"/>
            <w:vAlign w:val="center"/>
            <w:textDirection w:val="lrTb"/>
            <w:noWrap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/>
            <w:bookmarkStart w:id="43" w:name="颗粒物评分项得分"/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6</w:t>
            </w:r>
            <w:bookmarkEnd w:id="43"/>
            <w:r>
              <w:rPr>
                <w:rFonts w:ascii="宋体" w:hAnsi="宋体" w:eastAsia="宋体" w:hint="eastAsia"/>
                <w:b/>
                <w:bCs/>
                <w:sz w:val="20"/>
                <w:szCs w:val="20"/>
              </w:rPr>
              <w:t xml:space="preserve">分</w:t>
            </w:r>
            <w:r/>
          </w:p>
        </w:tc>
      </w:tr>
    </w:tbl>
    <w:p>
      <w:r/>
      <w:r/>
    </w:p>
    <w:sectPr>
      <w:headerReference w:type="default" r:id="rId11"/>
      <w:footnotePr/>
      <w:endnotePr/>
      <w:type w:val="nextPage"/>
      <w:pgSz w:w="11906" w:h="16838" w:orient="portrait"/>
      <w:pgMar w:top="1440" w:right="1800" w:bottom="1440" w:left="1800" w:header="851" w:footer="170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新宋体">
    <w:panose1 w:val="02010609030101010101"/>
  </w:font>
  <w:font w:name="微软雅黑">
    <w:panose1 w:val="020B0503020204020204"/>
  </w:font>
  <w:font w:name="Calibri">
    <w:panose1 w:val="020F0502020204030204"/>
  </w:font>
  <w:font w:name="Cambria">
    <w:panose1 w:val="02040503050406030204"/>
  </w:font>
  <w:font w:name="宋体">
    <w:panose1 w:val="02010600030101010101"/>
  </w:font>
  <w:font w:name="黑体">
    <w:panose1 w:val="02010609060101010101"/>
  </w:font>
  <w:font w:name="Times New Roman">
    <w:panose1 w:val="02020603050405020304"/>
  </w:font>
  <w:font w:name="Arial">
    <w:panose1 w:val="020B0604020202020204"/>
  </w:font>
  <w:font w:name="等线 Light">
    <w:panose1 w:val="02010600030101010101"/>
  </w:font>
  <w:font w:name="等线">
    <w:panose1 w:val="020106000301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40287564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1728636285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611"/>
            </w:pPr>
            <w:r/>
            <w:hyperlink r:id="rId1" w:tooltip="http://www.gbsware.cn/" w:history="1">
              <w:r>
                <w:rPr>
                  <w:rStyle w:val="623"/>
                  <w:rFonts w:ascii="宋体" w:hAnsi="宋体" w:eastAsia="宋体"/>
                  <w:sz w:val="20"/>
                </w:rPr>
                <w:t xml:space="preserve">http://www.gbsware.cn/</w:t>
              </w:r>
            </w:hyperlink>
            <w:r>
              <w:rPr>
                <w:rFonts w:ascii="宋体" w:hAnsi="宋体" w:eastAsia="宋体"/>
                <w:color w:val="0000FF"/>
                <w:sz w:val="20"/>
              </w:rPr>
              <w:t xml:space="preserve">             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第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6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页</w:t>
            </w:r>
            <w:r>
              <w:rPr>
                <w:rFonts w:ascii="宋体" w:hAnsi="宋体" w:eastAsia="宋体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共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6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页</w:t>
            </w:r>
            <w:r>
              <w:rPr>
                <w:rFonts w:ascii="宋体" w:hAnsi="宋体" w:eastAsia="宋体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 xml:space="preserve">VENT2020</w:t>
            </w:r>
            <w:r/>
          </w:p>
        </w:sdtContent>
      </w:sdt>
    </w:sdtContent>
  </w:sdt>
  <w:p>
    <w:pPr>
      <w:pStyle w:val="611"/>
      <w:spacing w:before="120"/>
    </w:pPr>
    <w:r>
      <w:rPr>
        <w:rFonts w:hint="eastAsia"/>
      </w:rP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  <w:spacing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  <w:spacing w:before="1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09"/>
      <w:ind w:right="180"/>
      <w:jc w:val="left"/>
      <w:spacing w:before="12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72199" cy="252000"/>
              <wp:effectExtent l="0" t="0" r="0" b="0"/>
              <wp:docPr id="1" name="图片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修改后LOGO-适用于报告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2199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76.6pt;height:19.8pt;" stroked="false">
              <v:path textboxrect="0,0,0,0"/>
              <v:imagedata r:id="rId1" o:title=""/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</w:t>
    </w:r>
    <w:r>
      <w:t xml:space="preserve">                      </w:t>
    </w:r>
    <w:r>
      <w:t xml:space="preserve"> </w:t>
    </w:r>
    <w:r>
      <w:t xml:space="preserve"> </w:t>
    </w:r>
    <w:r>
      <w:rPr>
        <w:rFonts w:hint="eastAsia"/>
      </w:rPr>
      <w:t xml:space="preserve">空气质量评价</w:t>
    </w:r>
    <w:r>
      <w:rPr>
        <w:rFonts w:hint="eastAsia"/>
      </w:rPr>
      <w:t xml:space="preserve">报告书</w:t>
    </w:r>
    <w:r>
      <w:t xml:space="preserve">-可吸入颗粒物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09"/>
      <w:jc w:val="right"/>
      <w:spacing w:before="120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 w:hint="eastAsia"/>
        <w:b/>
        <w:bCs/>
        <w:sz w:val="21"/>
        <w:szCs w:val="21"/>
      </w:rPr>
      <w:t xml:space="preserve">第</w:t>
    </w:r>
    <w:r>
      <w:rPr>
        <w:rFonts w:ascii="Arial" w:hAnsi="Arial" w:cs="Arial" w:hint="eastAsia"/>
        <w:b/>
        <w:bCs/>
        <w:sz w:val="21"/>
        <w:szCs w:val="21"/>
      </w:rPr>
      <w:t xml:space="preserve">5</w:t>
    </w:r>
    <w:r>
      <w:rPr>
        <w:rFonts w:ascii="Arial" w:hAnsi="Arial" w:cs="Arial" w:hint="eastAsia"/>
        <w:b/>
        <w:bCs/>
        <w:sz w:val="21"/>
        <w:szCs w:val="21"/>
      </w:rPr>
      <w:t xml:space="preserve">章</w:t>
    </w:r>
    <w:r>
      <w:rPr>
        <w:rFonts w:ascii="Arial" w:hAnsi="Arial" w:cs="Arial" w:hint="eastAsia"/>
        <w:b/>
        <w:bCs/>
        <w:sz w:val="21"/>
        <w:szCs w:val="21"/>
      </w:rPr>
      <w:t xml:space="preserve">  </w:t>
    </w:r>
    <w:r>
      <w:rPr>
        <w:rFonts w:ascii="Arial" w:hAnsi="Arial" w:cs="Arial" w:hint="eastAsia"/>
        <w:b/>
        <w:bCs/>
        <w:sz w:val="21"/>
        <w:szCs w:val="21"/>
      </w:rPr>
      <w:t xml:space="preserve">辅助工具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09"/>
      <w:ind w:right="180"/>
      <w:jc w:val="left"/>
      <w:spacing w:before="12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72199" cy="252000"/>
              <wp:effectExtent l="0" t="0" r="0" b="0"/>
              <wp:docPr id="2" name="图片 4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修改后LOGO-适用于报告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2199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76.6pt;height:19.8pt;" stroked="false">
              <v:path textboxrect="0,0,0,0"/>
              <v:imagedata r:id="rId1" o:title=""/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 xml:space="preserve">空气质量评价</w:t>
    </w:r>
    <w:r>
      <w:rPr>
        <w:rFonts w:hint="eastAsia"/>
      </w:rPr>
      <w:t xml:space="preserve">报告书</w:t>
    </w:r>
    <w:r>
      <w:t xml:space="preserve">-可吸入颗粒物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ascii="Arial" w:hAnsi="Arial" w:hint="default"/>
      </w:rPr>
    </w:lvl>
    <w:lvl w:ilvl="1">
      <w:start w:val="1"/>
      <w:numFmt w:val="decimal"/>
      <w:pStyle w:val="598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eastAsia"/>
      </w:rPr>
    </w:lvl>
    <w:lvl w:ilvl="2">
      <w:start w:val="1"/>
      <w:numFmt w:val="decimal"/>
      <w:pStyle w:val="599"/>
      <w:isLgl w:val="false"/>
      <w:suff w:val="tab"/>
      <w:lvlText w:val="%1.%2.%3"/>
      <w:lvlJc w:val="left"/>
      <w:pPr>
        <w:ind w:left="2847" w:hanging="720"/>
        <w:tabs>
          <w:tab w:val="num" w:pos="6250" w:leader="none"/>
        </w:tabs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600"/>
      <w:isLgl w:val="false"/>
      <w:suff w:val="tab"/>
      <w:lvlText w:val="%1.%2.%3.%4"/>
      <w:lvlJc w:val="left"/>
      <w:pPr>
        <w:ind w:left="1148" w:hanging="864"/>
        <w:tabs>
          <w:tab w:val="num" w:pos="1148" w:leader="none"/>
        </w:tabs>
      </w:pPr>
      <w:rPr>
        <w:rFonts w:ascii="Times New Roman" w:hAnsi="Times New Roman" w:cs="Times New Roman" w:hint="eastAsia"/>
        <w:b w:val="false"/>
        <w:bCs w:val="false"/>
        <w:i w:val="false"/>
        <w:iCs w:val="false"/>
        <w:caps w:val="false"/>
        <w:smallCaps w:val="false"/>
        <w:strike w:val="false"/>
        <w:vanish w:val="false"/>
        <w:color w:val="000000"/>
        <w:spacing w:val="0"/>
        <w:position w:val="0"/>
        <w:sz w:val="0"/>
        <w:szCs w:val="0"/>
        <w:u w:val="none"/>
        <w:shd w:val="clear" w:fill="000000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eastAsia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eastAsia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eastAsia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eastAsia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eastAsi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ascii="Times New Roman" w:hAnsi="Times New Roman" w:eastAsia="宋体" w:hint="default"/>
        <w:b w:val="false"/>
        <w:i w:val="false"/>
        <w:sz w:val="24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decimal"/>
      <w:isLgl w:val="false"/>
      <w:suff w:val="tab"/>
      <w:lvlText w:val="%3）"/>
      <w:lvlJc w:val="left"/>
      <w:pPr>
        <w:ind w:left="567" w:hanging="567"/>
      </w:pPr>
      <w:rPr>
        <w:rFonts w:ascii="Times New Roman" w:hAnsi="Times New Roman" w:cs="Times New Roman" w:eastAsia="宋体" w:hint="default"/>
        <w:b w:val="false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hAnsi="等线" w:cs="等线" w:eastAsia="等线"/>
        <w:sz w:val="21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6"/>
    <w:link w:val="59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6"/>
    <w:link w:val="59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6"/>
    <w:link w:val="59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06"/>
    <w:link w:val="60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06"/>
    <w:link w:val="60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06"/>
    <w:link w:val="60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06"/>
    <w:link w:val="6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06"/>
    <w:link w:val="60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06"/>
    <w:link w:val="605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6"/>
    <w:next w:val="59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6"/>
    <w:link w:val="32"/>
    <w:uiPriority w:val="10"/>
    <w:rPr>
      <w:sz w:val="48"/>
      <w:szCs w:val="48"/>
    </w:rPr>
  </w:style>
  <w:style w:type="paragraph" w:styleId="34">
    <w:name w:val="Subtitle"/>
    <w:basedOn w:val="596"/>
    <w:next w:val="59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6"/>
    <w:link w:val="34"/>
    <w:uiPriority w:val="11"/>
    <w:rPr>
      <w:sz w:val="24"/>
      <w:szCs w:val="24"/>
    </w:rPr>
  </w:style>
  <w:style w:type="paragraph" w:styleId="36">
    <w:name w:val="Quote"/>
    <w:basedOn w:val="596"/>
    <w:next w:val="59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6"/>
    <w:next w:val="596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06"/>
    <w:link w:val="609"/>
    <w:uiPriority w:val="99"/>
  </w:style>
  <w:style w:type="character" w:styleId="43">
    <w:name w:val="Footer Char"/>
    <w:basedOn w:val="606"/>
    <w:link w:val="611"/>
    <w:uiPriority w:val="99"/>
  </w:style>
  <w:style w:type="paragraph" w:styleId="44">
    <w:name w:val="Caption"/>
    <w:basedOn w:val="596"/>
    <w:next w:val="59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11"/>
    <w:uiPriority w:val="99"/>
  </w:style>
  <w:style w:type="table" w:styleId="47">
    <w:name w:val="Table Grid Light"/>
    <w:basedOn w:val="60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9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6"/>
    <w:uiPriority w:val="99"/>
    <w:unhideWhenUsed/>
    <w:rPr>
      <w:vertAlign w:val="superscript"/>
    </w:rPr>
  </w:style>
  <w:style w:type="paragraph" w:styleId="176">
    <w:name w:val="endnote text"/>
    <w:basedOn w:val="59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6"/>
    <w:uiPriority w:val="99"/>
    <w:semiHidden/>
    <w:unhideWhenUsed/>
    <w:rPr>
      <w:vertAlign w:val="superscript"/>
    </w:rPr>
  </w:style>
  <w:style w:type="paragraph" w:styleId="182">
    <w:name w:val="toc 4"/>
    <w:basedOn w:val="596"/>
    <w:next w:val="59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6"/>
    <w:next w:val="59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6"/>
    <w:next w:val="59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6"/>
    <w:next w:val="59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6"/>
    <w:next w:val="59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6"/>
    <w:next w:val="596"/>
    <w:uiPriority w:val="39"/>
    <w:unhideWhenUsed/>
    <w:pPr>
      <w:ind w:left="2268" w:right="0" w:firstLine="0"/>
      <w:spacing w:after="57"/>
    </w:pPr>
  </w:style>
  <w:style w:type="paragraph" w:styleId="596" w:default="1">
    <w:name w:val="Normal"/>
    <w:qFormat/>
    <w:pPr>
      <w:jc w:val="both"/>
      <w:widowControl w:val="off"/>
    </w:pPr>
  </w:style>
  <w:style w:type="paragraph" w:styleId="597">
    <w:name w:val="Heading 1"/>
    <w:basedOn w:val="596"/>
    <w:next w:val="596"/>
    <w:link w:val="617"/>
    <w:qFormat/>
    <w:uiPriority w:val="9"/>
    <w:rPr>
      <w:b/>
      <w:bCs/>
      <w:sz w:val="44"/>
      <w:szCs w:val="44"/>
    </w:rPr>
    <w:pPr>
      <w:keepLines/>
      <w:keepNext/>
      <w:spacing w:lineRule="auto" w:line="578" w:after="330" w:before="340"/>
      <w:outlineLvl w:val="0"/>
    </w:pPr>
  </w:style>
  <w:style w:type="paragraph" w:styleId="598">
    <w:name w:val="Heading 2"/>
    <w:basedOn w:val="596"/>
    <w:next w:val="596"/>
    <w:link w:val="616"/>
    <w:qFormat/>
    <w:rPr>
      <w:rFonts w:ascii="Arial" w:hAnsi="Arial" w:cs="Times New Roman" w:eastAsia="黑体"/>
      <w:b/>
      <w:bCs/>
      <w:sz w:val="30"/>
      <w:szCs w:val="32"/>
    </w:rPr>
    <w:pPr>
      <w:numPr>
        <w:ilvl w:val="1"/>
        <w:numId w:val="1"/>
      </w:numPr>
      <w:keepLines/>
      <w:keepNext/>
      <w:spacing w:lineRule="auto" w:line="416" w:after="260" w:before="260"/>
      <w:widowControl/>
      <w:outlineLvl w:val="1"/>
    </w:pPr>
  </w:style>
  <w:style w:type="paragraph" w:styleId="599">
    <w:name w:val="Heading 3"/>
    <w:basedOn w:val="596"/>
    <w:next w:val="596"/>
    <w:link w:val="614"/>
    <w:qFormat/>
    <w:rPr>
      <w:rFonts w:ascii="Times New Roman" w:hAnsi="Times New Roman" w:cs="Times New Roman" w:eastAsia="黑体"/>
      <w:b/>
      <w:bCs/>
      <w:sz w:val="28"/>
      <w:szCs w:val="24"/>
    </w:rPr>
    <w:pPr>
      <w:numPr>
        <w:ilvl w:val="2"/>
        <w:numId w:val="1"/>
      </w:numPr>
      <w:keepLines/>
      <w:keepNext/>
      <w:spacing w:lineRule="auto" w:line="415"/>
      <w:widowControl/>
      <w:outlineLvl w:val="2"/>
    </w:pPr>
  </w:style>
  <w:style w:type="paragraph" w:styleId="600">
    <w:name w:val="Heading 4"/>
    <w:basedOn w:val="596"/>
    <w:next w:val="596"/>
    <w:link w:val="615"/>
    <w:qFormat/>
    <w:rPr>
      <w:rFonts w:ascii="Arial" w:hAnsi="Arial" w:cs="Times New Roman" w:eastAsia="黑体"/>
      <w:b/>
      <w:bCs/>
      <w:sz w:val="24"/>
      <w:szCs w:val="28"/>
    </w:rPr>
    <w:pPr>
      <w:numPr>
        <w:ilvl w:val="3"/>
        <w:numId w:val="1"/>
      </w:numPr>
      <w:keepLines/>
      <w:keepNext/>
      <w:spacing w:lineRule="auto" w:line="376" w:after="290" w:before="280"/>
      <w:widowControl/>
      <w:outlineLvl w:val="3"/>
    </w:pPr>
  </w:style>
  <w:style w:type="paragraph" w:styleId="601">
    <w:name w:val="Heading 5"/>
    <w:basedOn w:val="598"/>
    <w:next w:val="596"/>
    <w:link w:val="618"/>
    <w:qFormat/>
    <w:rPr>
      <w:bCs w:val="false"/>
      <w:sz w:val="28"/>
      <w:szCs w:val="28"/>
    </w:rPr>
    <w:pPr>
      <w:numPr>
        <w:ilvl w:val="0"/>
        <w:numId w:val="0"/>
      </w:numPr>
      <w:ind w:left="1008" w:hanging="1008"/>
      <w:spacing w:lineRule="auto" w:line="376" w:after="290" w:before="280"/>
      <w:tabs>
        <w:tab w:val="left" w:pos="1008" w:leader="none"/>
      </w:tabs>
      <w:outlineLvl w:val="4"/>
    </w:pPr>
  </w:style>
  <w:style w:type="paragraph" w:styleId="602">
    <w:name w:val="Heading 6"/>
    <w:basedOn w:val="596"/>
    <w:next w:val="596"/>
    <w:link w:val="619"/>
    <w:qFormat/>
    <w:rPr>
      <w:rFonts w:ascii="Arial" w:hAnsi="Arial" w:cs="Times New Roman" w:eastAsia="黑体"/>
      <w:b/>
      <w:bCs/>
      <w:sz w:val="24"/>
      <w:szCs w:val="24"/>
    </w:rPr>
    <w:pPr>
      <w:ind w:left="1152" w:hanging="1152"/>
      <w:keepLines/>
      <w:keepNext/>
      <w:spacing w:lineRule="auto" w:line="320" w:after="64" w:before="240"/>
      <w:widowControl/>
      <w:tabs>
        <w:tab w:val="left" w:pos="1152" w:leader="none"/>
      </w:tabs>
      <w:outlineLvl w:val="5"/>
    </w:pPr>
  </w:style>
  <w:style w:type="paragraph" w:styleId="603">
    <w:name w:val="Heading 7"/>
    <w:basedOn w:val="596"/>
    <w:next w:val="596"/>
    <w:link w:val="620"/>
    <w:qFormat/>
    <w:rPr>
      <w:rFonts w:ascii="Times New Roman" w:hAnsi="Times New Roman" w:cs="Times New Roman" w:eastAsia="宋体"/>
      <w:b/>
      <w:bCs/>
      <w:sz w:val="24"/>
      <w:szCs w:val="24"/>
    </w:rPr>
    <w:pPr>
      <w:ind w:left="1296" w:hanging="1296"/>
      <w:keepLines/>
      <w:keepNext/>
      <w:spacing w:lineRule="auto" w:line="320" w:after="64" w:before="240"/>
      <w:widowControl/>
      <w:tabs>
        <w:tab w:val="left" w:pos="1296" w:leader="none"/>
      </w:tabs>
      <w:outlineLvl w:val="6"/>
    </w:pPr>
  </w:style>
  <w:style w:type="paragraph" w:styleId="604">
    <w:name w:val="Heading 8"/>
    <w:basedOn w:val="596"/>
    <w:next w:val="596"/>
    <w:link w:val="621"/>
    <w:qFormat/>
    <w:rPr>
      <w:rFonts w:ascii="Arial" w:hAnsi="Arial" w:cs="Times New Roman" w:eastAsia="黑体"/>
      <w:sz w:val="24"/>
      <w:szCs w:val="24"/>
    </w:rPr>
    <w:pPr>
      <w:ind w:left="1440" w:hanging="1440"/>
      <w:keepLines/>
      <w:keepNext/>
      <w:spacing w:lineRule="auto" w:line="320" w:after="64" w:before="240"/>
      <w:widowControl/>
      <w:tabs>
        <w:tab w:val="left" w:pos="1440" w:leader="none"/>
      </w:tabs>
      <w:outlineLvl w:val="7"/>
    </w:pPr>
  </w:style>
  <w:style w:type="paragraph" w:styleId="605">
    <w:name w:val="Heading 9"/>
    <w:basedOn w:val="596"/>
    <w:next w:val="596"/>
    <w:link w:val="622"/>
    <w:qFormat/>
    <w:rPr>
      <w:rFonts w:ascii="Arial" w:hAnsi="Arial" w:cs="Times New Roman" w:eastAsia="黑体"/>
      <w:sz w:val="21"/>
      <w:szCs w:val="21"/>
    </w:rPr>
    <w:pPr>
      <w:ind w:left="1584" w:hanging="1584"/>
      <w:keepLines/>
      <w:keepNext/>
      <w:spacing w:lineRule="auto" w:line="320" w:after="64" w:before="240"/>
      <w:widowControl/>
      <w:tabs>
        <w:tab w:val="left" w:pos="1584" w:leader="none"/>
      </w:tabs>
      <w:outlineLvl w:val="8"/>
    </w:pPr>
  </w:style>
  <w:style w:type="character" w:styleId="606" w:default="1">
    <w:name w:val="Default Paragraph Font"/>
    <w:uiPriority w:val="1"/>
    <w:semiHidden/>
    <w:unhideWhenUsed/>
  </w:style>
  <w:style w:type="table" w:styleId="6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8" w:default="1">
    <w:name w:val="No List"/>
    <w:uiPriority w:val="99"/>
    <w:semiHidden/>
    <w:unhideWhenUsed/>
  </w:style>
  <w:style w:type="paragraph" w:styleId="609">
    <w:name w:val="Header"/>
    <w:basedOn w:val="596"/>
    <w:link w:val="610"/>
    <w:unhideWhenUsed/>
    <w:rPr>
      <w:sz w:val="18"/>
      <w:szCs w:val="18"/>
    </w:rPr>
    <w:pPr>
      <w:jc w:val="center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character" w:styleId="610" w:customStyle="1">
    <w:name w:val="页眉 字符"/>
    <w:basedOn w:val="606"/>
    <w:link w:val="609"/>
    <w:rPr>
      <w:sz w:val="18"/>
      <w:szCs w:val="18"/>
    </w:rPr>
  </w:style>
  <w:style w:type="paragraph" w:styleId="611">
    <w:name w:val="Footer"/>
    <w:basedOn w:val="596"/>
    <w:link w:val="612"/>
    <w:uiPriority w:val="99"/>
    <w:unhideWhenUsed/>
    <w:rPr>
      <w:sz w:val="18"/>
      <w:szCs w:val="18"/>
    </w:rPr>
    <w:pPr>
      <w:jc w:val="left"/>
      <w:tabs>
        <w:tab w:val="center" w:pos="4153" w:leader="none"/>
        <w:tab w:val="right" w:pos="8306" w:leader="none"/>
      </w:tabs>
    </w:pPr>
  </w:style>
  <w:style w:type="character" w:styleId="612" w:customStyle="1">
    <w:name w:val="页脚 字符"/>
    <w:basedOn w:val="606"/>
    <w:link w:val="611"/>
    <w:uiPriority w:val="99"/>
    <w:rPr>
      <w:sz w:val="18"/>
      <w:szCs w:val="18"/>
    </w:rPr>
  </w:style>
  <w:style w:type="character" w:styleId="613" w:customStyle="1">
    <w:name w:val="标题 2 字符"/>
    <w:basedOn w:val="606"/>
    <w:uiPriority w:val="9"/>
    <w:semiHidden/>
    <w:rPr>
      <w:rFonts w:ascii="等线 Light" w:hAnsi="等线 Light" w:cs="等线 Light" w:eastAsia="等线 Light"/>
      <w:b/>
      <w:bCs/>
      <w:sz w:val="32"/>
      <w:szCs w:val="32"/>
    </w:rPr>
  </w:style>
  <w:style w:type="character" w:styleId="614" w:customStyle="1">
    <w:name w:val="标题 3 字符"/>
    <w:basedOn w:val="606"/>
    <w:link w:val="599"/>
    <w:rPr>
      <w:rFonts w:ascii="Times New Roman" w:hAnsi="Times New Roman" w:cs="Times New Roman" w:eastAsia="黑体"/>
      <w:b/>
      <w:bCs/>
      <w:sz w:val="28"/>
      <w:szCs w:val="24"/>
    </w:rPr>
  </w:style>
  <w:style w:type="character" w:styleId="615" w:customStyle="1">
    <w:name w:val="标题 4 字符"/>
    <w:basedOn w:val="606"/>
    <w:link w:val="600"/>
    <w:rPr>
      <w:rFonts w:ascii="Arial" w:hAnsi="Arial" w:cs="Times New Roman" w:eastAsia="黑体"/>
      <w:b/>
      <w:bCs/>
      <w:sz w:val="24"/>
      <w:szCs w:val="28"/>
    </w:rPr>
  </w:style>
  <w:style w:type="character" w:styleId="616" w:customStyle="1">
    <w:name w:val="标题 2 字符1"/>
    <w:link w:val="598"/>
    <w:rPr>
      <w:rFonts w:ascii="Arial" w:hAnsi="Arial" w:cs="Times New Roman" w:eastAsia="黑体"/>
      <w:b/>
      <w:bCs/>
      <w:sz w:val="30"/>
      <w:szCs w:val="32"/>
    </w:rPr>
  </w:style>
  <w:style w:type="character" w:styleId="617" w:customStyle="1">
    <w:name w:val="标题 1 字符"/>
    <w:basedOn w:val="606"/>
    <w:link w:val="597"/>
    <w:uiPriority w:val="9"/>
    <w:rPr>
      <w:b/>
      <w:bCs/>
      <w:sz w:val="44"/>
      <w:szCs w:val="44"/>
    </w:rPr>
  </w:style>
  <w:style w:type="character" w:styleId="618" w:customStyle="1">
    <w:name w:val="标题 5 字符"/>
    <w:basedOn w:val="606"/>
    <w:link w:val="601"/>
    <w:rPr>
      <w:rFonts w:ascii="Arial" w:hAnsi="Arial" w:cs="Times New Roman" w:eastAsia="黑体"/>
      <w:b/>
      <w:sz w:val="28"/>
      <w:szCs w:val="28"/>
    </w:rPr>
  </w:style>
  <w:style w:type="character" w:styleId="619" w:customStyle="1">
    <w:name w:val="标题 6 字符"/>
    <w:basedOn w:val="606"/>
    <w:link w:val="602"/>
    <w:rPr>
      <w:rFonts w:ascii="Arial" w:hAnsi="Arial" w:cs="Times New Roman" w:eastAsia="黑体"/>
      <w:b/>
      <w:bCs/>
      <w:sz w:val="24"/>
      <w:szCs w:val="24"/>
    </w:rPr>
  </w:style>
  <w:style w:type="character" w:styleId="620" w:customStyle="1">
    <w:name w:val="标题 7 字符"/>
    <w:basedOn w:val="606"/>
    <w:link w:val="603"/>
    <w:rPr>
      <w:rFonts w:ascii="Times New Roman" w:hAnsi="Times New Roman" w:cs="Times New Roman" w:eastAsia="宋体"/>
      <w:b/>
      <w:bCs/>
      <w:sz w:val="24"/>
      <w:szCs w:val="24"/>
    </w:rPr>
  </w:style>
  <w:style w:type="character" w:styleId="621" w:customStyle="1">
    <w:name w:val="标题 8 字符"/>
    <w:basedOn w:val="606"/>
    <w:link w:val="604"/>
    <w:rPr>
      <w:rFonts w:ascii="Arial" w:hAnsi="Arial" w:cs="Times New Roman" w:eastAsia="黑体"/>
      <w:sz w:val="24"/>
      <w:szCs w:val="24"/>
    </w:rPr>
  </w:style>
  <w:style w:type="character" w:styleId="622" w:customStyle="1">
    <w:name w:val="标题 9 字符"/>
    <w:basedOn w:val="606"/>
    <w:link w:val="605"/>
    <w:rPr>
      <w:rFonts w:ascii="Arial" w:hAnsi="Arial" w:cs="Times New Roman" w:eastAsia="黑体"/>
      <w:sz w:val="21"/>
      <w:szCs w:val="21"/>
    </w:rPr>
  </w:style>
  <w:style w:type="character" w:styleId="623">
    <w:name w:val="Hyperlink"/>
    <w:uiPriority w:val="99"/>
    <w:rPr>
      <w:color w:val="0000FF"/>
      <w:u w:val="single"/>
    </w:rPr>
  </w:style>
  <w:style w:type="paragraph" w:styleId="624">
    <w:name w:val="TOC Heading"/>
    <w:basedOn w:val="597"/>
    <w:next w:val="596"/>
    <w:qFormat/>
    <w:uiPriority w:val="39"/>
    <w:rPr>
      <w:rFonts w:ascii="Cambria" w:hAnsi="Cambria" w:cs="Times New Roman" w:eastAsia="宋体"/>
      <w:color w:val="365F91"/>
      <w:sz w:val="28"/>
      <w:szCs w:val="28"/>
    </w:rPr>
    <w:pPr>
      <w:jc w:val="left"/>
      <w:spacing w:lineRule="auto" w:line="276" w:after="0" w:before="480"/>
      <w:widowControl/>
      <w:tabs>
        <w:tab w:val="left" w:pos="432" w:leader="none"/>
      </w:tabs>
      <w:outlineLvl w:val="9"/>
    </w:pPr>
  </w:style>
  <w:style w:type="paragraph" w:styleId="625" w:customStyle="1">
    <w:name w:val="列出段落1"/>
    <w:basedOn w:val="596"/>
    <w:qFormat/>
    <w:uiPriority w:val="34"/>
    <w:rPr>
      <w:rFonts w:ascii="Calibri" w:hAnsi="Calibri" w:cs="Times New Roman" w:eastAsia="宋体"/>
    </w:rPr>
    <w:pPr>
      <w:ind w:left="420" w:firstLine="420"/>
      <w:widowControl/>
    </w:pPr>
  </w:style>
  <w:style w:type="paragraph" w:styleId="626">
    <w:name w:val="toc 1"/>
    <w:basedOn w:val="596"/>
    <w:next w:val="596"/>
    <w:qFormat/>
    <w:uiPriority w:val="39"/>
    <w:rPr>
      <w:rFonts w:ascii="Times New Roman" w:hAnsi="Times New Roman" w:cs="Times New Roman" w:eastAsia="宋体"/>
      <w:sz w:val="24"/>
      <w:szCs w:val="24"/>
    </w:rPr>
    <w:pPr>
      <w:widowControl/>
    </w:pPr>
  </w:style>
  <w:style w:type="paragraph" w:styleId="627">
    <w:name w:val="toc 2"/>
    <w:basedOn w:val="596"/>
    <w:next w:val="596"/>
    <w:qFormat/>
    <w:uiPriority w:val="39"/>
    <w:rPr>
      <w:rFonts w:ascii="Times New Roman" w:hAnsi="Times New Roman" w:cs="Times New Roman" w:eastAsia="宋体"/>
      <w:sz w:val="24"/>
      <w:szCs w:val="24"/>
    </w:rPr>
    <w:pPr>
      <w:ind w:left="200"/>
      <w:widowControl/>
    </w:pPr>
  </w:style>
  <w:style w:type="paragraph" w:styleId="628">
    <w:name w:val="toc 3"/>
    <w:basedOn w:val="596"/>
    <w:next w:val="596"/>
    <w:qFormat/>
    <w:uiPriority w:val="39"/>
    <w:rPr>
      <w:rFonts w:ascii="Times New Roman" w:hAnsi="Times New Roman" w:cs="Times New Roman" w:eastAsia="宋体"/>
      <w:sz w:val="24"/>
      <w:szCs w:val="24"/>
    </w:rPr>
    <w:pPr>
      <w:ind w:left="840"/>
      <w:widowControl/>
    </w:pPr>
  </w:style>
  <w:style w:type="table" w:styleId="629">
    <w:name w:val="Table Grid"/>
    <w:basedOn w:val="607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30">
    <w:name w:val="Balloon Text"/>
    <w:basedOn w:val="596"/>
    <w:link w:val="631"/>
    <w:uiPriority w:val="99"/>
    <w:semiHidden/>
    <w:unhideWhenUsed/>
    <w:rPr>
      <w:sz w:val="18"/>
      <w:szCs w:val="18"/>
    </w:rPr>
  </w:style>
  <w:style w:type="character" w:styleId="631" w:customStyle="1">
    <w:name w:val="批注框文本 字符"/>
    <w:basedOn w:val="606"/>
    <w:link w:val="630"/>
    <w:uiPriority w:val="99"/>
    <w:semiHidden/>
    <w:rPr>
      <w:sz w:val="18"/>
      <w:szCs w:val="18"/>
    </w:rPr>
  </w:style>
  <w:style w:type="paragraph" w:styleId="632">
    <w:name w:val="List Paragraph"/>
    <w:basedOn w:val="596"/>
    <w:qFormat/>
    <w:uiPriority w:val="34"/>
    <w:pPr>
      <w:ind w:firstLine="420"/>
    </w:pPr>
  </w:style>
  <w:style w:type="character" w:styleId="633">
    <w:name w:val="annotation reference"/>
    <w:basedOn w:val="606"/>
    <w:uiPriority w:val="99"/>
    <w:semiHidden/>
    <w:unhideWhenUsed/>
    <w:rPr>
      <w:sz w:val="16"/>
      <w:szCs w:val="16"/>
    </w:rPr>
  </w:style>
  <w:style w:type="paragraph" w:styleId="634">
    <w:name w:val="annotation text"/>
    <w:basedOn w:val="596"/>
    <w:link w:val="635"/>
    <w:uiPriority w:val="99"/>
    <w:semiHidden/>
    <w:unhideWhenUsed/>
    <w:rPr>
      <w:sz w:val="20"/>
      <w:szCs w:val="20"/>
    </w:rPr>
  </w:style>
  <w:style w:type="character" w:styleId="635" w:customStyle="1">
    <w:name w:val="批注文字 字符"/>
    <w:basedOn w:val="606"/>
    <w:link w:val="634"/>
    <w:uiPriority w:val="99"/>
    <w:semiHidden/>
    <w:rPr>
      <w:sz w:val="20"/>
      <w:szCs w:val="20"/>
    </w:rPr>
  </w:style>
  <w:style w:type="paragraph" w:styleId="636">
    <w:name w:val="annotation subject"/>
    <w:basedOn w:val="634"/>
    <w:next w:val="634"/>
    <w:link w:val="637"/>
    <w:uiPriority w:val="99"/>
    <w:semiHidden/>
    <w:unhideWhenUsed/>
    <w:rPr>
      <w:b/>
      <w:bCs/>
    </w:rPr>
  </w:style>
  <w:style w:type="character" w:styleId="637" w:customStyle="1">
    <w:name w:val="批注主题 字符"/>
    <w:basedOn w:val="635"/>
    <w:link w:val="63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wmf"/><Relationship Id="rId25" Type="http://schemas.openxmlformats.org/officeDocument/2006/relationships/oleObject" Target="embeddings/oleObject1.bin"/><Relationship Id="rId26" Type="http://schemas.openxmlformats.org/officeDocument/2006/relationships/image" Target="media/image12.png"/><Relationship Id="rId27" Type="http://schemas.openxmlformats.org/officeDocument/2006/relationships/image" Target="media/image13.jpg"/><Relationship Id="rId28" Type="http://schemas.openxmlformats.org/officeDocument/2006/relationships/image" Target="media/image14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>Microsoft</Company>
  <DocSecurity>0</DocSecurity>
  <HyperlinksChanged>false</HyperlinksChanged>
  <LinksUpToDate>false</LinksUpToDate>
  <ScaleCrop>false</ScaleCrop>
  <SharedDoc>false</SharedDoc>
  <Template>tmp7.dotx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viola'computer</dc:creator>
  <cp:revision>2</cp:revision>
  <dcterms:created xsi:type="dcterms:W3CDTF">2022-01-03T02:05:00Z</dcterms:created>
  <dcterms:modified xsi:type="dcterms:W3CDTF">2022-01-03T02:12:07Z</dcterms:modified>
</cp:coreProperties>
</file>