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line="240" w:lineRule="auto"/>
        <w:rPr>
          <w:rFonts w:ascii="宋体" w:hAnsi="宋体"/>
          <w:b/>
          <w:bCs/>
          <w:sz w:val="30"/>
          <w:szCs w:val="24"/>
          <w:lang w:val="en-US"/>
        </w:rPr>
      </w:pPr>
    </w:p>
    <w:p>
      <w:pPr>
        <w:spacing w:before="312"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E6E6E6" w:fill="E6E6E6"/>
            <w:noWrap w:val="0"/>
          </w:tcPr>
          <w:p>
            <w:pPr>
              <w:pStyle w:val="22"/>
              <w:pBdr>
                <w:bottom w:val="none" w:color="auto" w:sz="0" w:space="0"/>
              </w:pBdr>
              <w:tabs>
                <w:tab w:val="clear" w:pos="4153"/>
                <w:tab w:val="clear" w:pos="8306"/>
              </w:tabs>
              <w:jc w:val="both"/>
              <w:rPr>
                <w:rFonts w:ascii="宋体" w:hAnsi="宋体"/>
                <w:sz w:val="21"/>
                <w:szCs w:val="21"/>
              </w:rPr>
            </w:pPr>
            <w:r>
              <w:rPr>
                <w:rFonts w:hint="eastAsia" w:ascii="宋体" w:hAnsi="宋体"/>
                <w:sz w:val="21"/>
                <w:szCs w:val="21"/>
              </w:rPr>
              <w:t>项目名称</w:t>
            </w:r>
          </w:p>
        </w:tc>
        <w:tc>
          <w:tcPr>
            <w:tcW w:w="3780" w:type="dxa"/>
            <w:noWrap w:val="0"/>
          </w:tcPr>
          <w:p>
            <w:pPr>
              <w:pStyle w:val="21"/>
              <w:tabs>
                <w:tab w:val="clear" w:pos="4153"/>
                <w:tab w:val="clear" w:pos="8306"/>
              </w:tabs>
              <w:jc w:val="both"/>
              <w:rPr>
                <w:rFonts w:ascii="宋体" w:hAnsi="宋体"/>
                <w:sz w:val="21"/>
                <w:szCs w:val="21"/>
              </w:rPr>
            </w:pPr>
            <w:r>
              <w:rPr>
                <w:rFonts w:hint="eastAsia" w:ascii="宋体" w:hAnsi="宋体"/>
                <w:sz w:val="21"/>
                <w:szCs w:val="21"/>
              </w:rPr>
              <w:t>梦土上---生态</w:t>
            </w:r>
            <w:r>
              <w:rPr>
                <w:rFonts w:ascii="宋体" w:hAnsi="宋体"/>
                <w:sz w:val="21"/>
                <w:szCs w:val="21"/>
              </w:rPr>
              <w:t>青年社区公寓设计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工程地点</w:t>
            </w:r>
          </w:p>
        </w:tc>
        <w:tc>
          <w:tcPr>
            <w:tcW w:w="3780" w:type="dxa"/>
            <w:noWrap w:val="0"/>
          </w:tcPr>
          <w:p>
            <w:pPr>
              <w:jc w:val="both"/>
              <w:rPr>
                <w:rFonts w:ascii="宋体" w:hAnsi="宋体"/>
                <w:sz w:val="21"/>
                <w:szCs w:val="21"/>
              </w:rPr>
            </w:pPr>
            <w:bookmarkStart w:id="1" w:name="项目地点"/>
            <w:r>
              <w:rPr>
                <w:rFonts w:hint="eastAsia"/>
              </w:rPr>
              <w:t>湖北-</w:t>
            </w:r>
            <w:r>
              <w:t>荆州</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设计编号</w:t>
            </w:r>
          </w:p>
        </w:tc>
        <w:tc>
          <w:tcPr>
            <w:tcW w:w="3780" w:type="dxa"/>
            <w:noWrap w:val="0"/>
          </w:tcPr>
          <w:p>
            <w:pPr>
              <w:jc w:val="both"/>
              <w:rPr>
                <w:rFonts w:ascii="宋体" w:hAnsi="宋体"/>
                <w:sz w:val="21"/>
                <w:szCs w:val="21"/>
              </w:rPr>
            </w:pPr>
            <w:bookmarkStart w:id="2" w:name="设计编号"/>
            <w:r>
              <w:t>BK41029</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建设单位</w:t>
            </w:r>
          </w:p>
        </w:tc>
        <w:tc>
          <w:tcPr>
            <w:tcW w:w="3780" w:type="dxa"/>
            <w:noWrap w:val="0"/>
          </w:tcPr>
          <w:p>
            <w:pPr>
              <w:rPr>
                <w:rFonts w:ascii="宋体" w:hAnsi="宋体"/>
                <w:sz w:val="21"/>
                <w:szCs w:val="21"/>
              </w:rPr>
            </w:pPr>
            <w:bookmarkStart w:id="3" w:name="建设单位"/>
            <w:r>
              <w:t>绿建小分队</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设计单位</w:t>
            </w:r>
          </w:p>
        </w:tc>
        <w:tc>
          <w:tcPr>
            <w:tcW w:w="3780" w:type="dxa"/>
            <w:noWrap w:val="0"/>
          </w:tcPr>
          <w:p>
            <w:pPr>
              <w:rPr>
                <w:rFonts w:ascii="宋体" w:hAnsi="宋体"/>
                <w:sz w:val="21"/>
                <w:szCs w:val="21"/>
              </w:rPr>
            </w:pPr>
            <w:r>
              <w:t>绿建小分队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设 计 人</w:t>
            </w:r>
          </w:p>
        </w:tc>
        <w:tc>
          <w:tcPr>
            <w:tcW w:w="3780" w:type="dxa"/>
            <w:noWrap w:val="0"/>
          </w:tcPr>
          <w:p>
            <w:pP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校 对 人</w:t>
            </w:r>
          </w:p>
        </w:tc>
        <w:tc>
          <w:tcPr>
            <w:tcW w:w="3780" w:type="dxa"/>
            <w:noWrap w:val="0"/>
          </w:tcPr>
          <w:p>
            <w:pP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审 核 人</w:t>
            </w:r>
          </w:p>
        </w:tc>
        <w:tc>
          <w:tcPr>
            <w:tcW w:w="3780" w:type="dxa"/>
            <w:noWrap w:val="0"/>
          </w:tcPr>
          <w:p>
            <w:pP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E6E6E6" w:fill="E6E6E6"/>
            <w:noWrap w:val="0"/>
          </w:tcPr>
          <w:p>
            <w:pPr>
              <w:jc w:val="both"/>
              <w:rPr>
                <w:rFonts w:ascii="宋体" w:hAnsi="宋体"/>
                <w:sz w:val="21"/>
                <w:szCs w:val="21"/>
              </w:rPr>
            </w:pPr>
            <w:r>
              <w:rPr>
                <w:rFonts w:hint="eastAsia" w:ascii="宋体" w:hAnsi="宋体"/>
                <w:sz w:val="21"/>
                <w:szCs w:val="21"/>
              </w:rPr>
              <w:t>审 定 人</w:t>
            </w:r>
          </w:p>
        </w:tc>
        <w:tc>
          <w:tcPr>
            <w:tcW w:w="3780" w:type="dxa"/>
            <w:noWrap w:val="0"/>
          </w:tcPr>
          <w:p>
            <w:pP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E6E6E6" w:fill="E6E6E6"/>
            <w:noWrap w:val="0"/>
          </w:tcPr>
          <w:p>
            <w:pPr>
              <w:jc w:val="both"/>
              <w:rPr>
                <w:rFonts w:ascii="宋体" w:hAnsi="宋体"/>
                <w:sz w:val="21"/>
                <w:szCs w:val="21"/>
              </w:rPr>
            </w:pPr>
            <w:r>
              <w:rPr>
                <w:rFonts w:hint="eastAsia" w:ascii="宋体" w:hAnsi="宋体"/>
                <w:sz w:val="21"/>
                <w:szCs w:val="21"/>
              </w:rPr>
              <w:t>设计日期</w:t>
            </w:r>
          </w:p>
        </w:tc>
        <w:tc>
          <w:tcPr>
            <w:tcW w:w="3780" w:type="dxa"/>
            <w:noWrap w:val="0"/>
          </w:tcPr>
          <w:p>
            <w:pPr>
              <w:rPr>
                <w:rFonts w:ascii="宋体" w:hAnsi="宋体"/>
                <w:sz w:val="21"/>
                <w:szCs w:val="21"/>
              </w:rPr>
            </w:pPr>
            <w:bookmarkStart w:id="4" w:name="报告日期"/>
            <w:r>
              <w:rPr>
                <w:rFonts w:hint="eastAsia" w:ascii="宋体" w:hAnsi="宋体"/>
                <w:sz w:val="21"/>
                <w:szCs w:val="21"/>
              </w:rPr>
              <w:t>2022年01月0</w:t>
            </w:r>
            <w:r>
              <w:rPr>
                <w:rFonts w:ascii="宋体" w:hAnsi="宋体"/>
                <w:sz w:val="21"/>
                <w:szCs w:val="21"/>
              </w:rPr>
              <w:t>2</w:t>
            </w:r>
            <w:r>
              <w:rPr>
                <w:rFonts w:hint="eastAsia" w:ascii="宋体" w:hAnsi="宋体"/>
                <w:sz w:val="21"/>
                <w:szCs w:val="21"/>
              </w:rPr>
              <w:t>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drawing>
          <wp:inline distT="0" distB="0" distL="0" distR="0">
            <wp:extent cx="1514475" cy="1514475"/>
            <wp:effectExtent l="0" t="0" r="0" b="0"/>
            <wp:docPr id="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31"/>
        <w:tblpPr w:leftFromText="180" w:rightFromText="180" w:vertAnchor="text" w:tblpXSpec="center" w:tblpY="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E6E6E6" w:fill="E6E6E6"/>
            <w:noWrap w:val="0"/>
            <w:vAlign w:val="center"/>
          </w:tcPr>
          <w:p>
            <w:pPr>
              <w:pStyle w:val="22"/>
              <w:pBdr>
                <w:bottom w:val="none" w:color="auto" w:sz="0" w:space="0"/>
              </w:pBdr>
              <w:tabs>
                <w:tab w:val="clear" w:pos="4153"/>
                <w:tab w:val="clear" w:pos="8306"/>
              </w:tabs>
              <w:spacing w:line="240" w:lineRule="auto"/>
              <w:jc w:val="both"/>
              <w:rPr>
                <w:rFonts w:ascii="宋体" w:hAnsi="宋体"/>
              </w:rPr>
            </w:pPr>
            <w:r>
              <w:rPr>
                <w:rFonts w:hint="eastAsia" w:ascii="宋体" w:hAnsi="宋体"/>
              </w:rPr>
              <w:t>采用软件</w:t>
            </w:r>
          </w:p>
        </w:tc>
        <w:tc>
          <w:tcPr>
            <w:tcW w:w="3997" w:type="dxa"/>
            <w:shd w:val="clear" w:color="auto" w:fill="auto"/>
            <w:noWrap w:val="0"/>
            <w:vAlign w:val="center"/>
          </w:tcPr>
          <w:p>
            <w:pPr>
              <w:pStyle w:val="22"/>
              <w:pBdr>
                <w:bottom w:val="none" w:color="auto" w:sz="0" w:space="0"/>
              </w:pBdr>
              <w:tabs>
                <w:tab w:val="clear" w:pos="4153"/>
                <w:tab w:val="clear" w:pos="8306"/>
              </w:tabs>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E6E6E6" w:fill="E6E6E6"/>
            <w:noWrap w:val="0"/>
            <w:vAlign w:val="center"/>
          </w:tcPr>
          <w:p>
            <w:pPr>
              <w:spacing w:line="240" w:lineRule="auto"/>
              <w:jc w:val="both"/>
              <w:rPr>
                <w:rFonts w:ascii="宋体" w:hAnsi="宋体"/>
                <w:sz w:val="18"/>
                <w:szCs w:val="18"/>
              </w:rPr>
            </w:pPr>
            <w:r>
              <w:rPr>
                <w:rFonts w:hint="eastAsia" w:ascii="宋体" w:hAnsi="宋体"/>
                <w:sz w:val="18"/>
                <w:szCs w:val="18"/>
              </w:rPr>
              <w:t>研发单位</w:t>
            </w:r>
          </w:p>
        </w:tc>
        <w:tc>
          <w:tcPr>
            <w:tcW w:w="3997" w:type="dxa"/>
            <w:tcBorders>
              <w:top w:val="single" w:color="auto" w:sz="4" w:space="0"/>
              <w:left w:val="single" w:color="auto" w:sz="4" w:space="0"/>
              <w:bottom w:val="single" w:color="auto" w:sz="4" w:space="0"/>
            </w:tcBorders>
            <w:shd w:val="clear" w:color="FFFFFF" w:fill="FFFFFF"/>
            <w:noWrap w:val="0"/>
            <w:vAlign w:val="center"/>
          </w:tcPr>
          <w:p>
            <w:pPr>
              <w:spacing w:line="240" w:lineRule="auto"/>
              <w:jc w:val="both"/>
              <w:rPr>
                <w:rFonts w:ascii="宋体" w:hAnsi="宋体"/>
                <w:sz w:val="18"/>
                <w:szCs w:val="18"/>
              </w:rPr>
            </w:pPr>
            <w:r>
              <w:rPr>
                <w:rFonts w:ascii="宋体" w:hAnsi="宋体"/>
                <w:sz w:val="18"/>
                <w:szCs w:val="18"/>
              </w:rPr>
              <w:t>北京绿建软件</w:t>
            </w:r>
            <w:r>
              <w:rPr>
                <w:rFonts w:hint="eastAsia" w:ascii="宋体" w:hAnsi="宋体"/>
                <w:sz w:val="18"/>
                <w:szCs w:val="18"/>
              </w:rPr>
              <w:t>股份</w:t>
            </w:r>
            <w:r>
              <w:rPr>
                <w:rFonts w:ascii="宋体" w:hAnsi="宋体"/>
                <w:sz w:val="18"/>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3"/>
        <w:rPr>
          <w:rFonts w:ascii="Calibri" w:hAnsi="Calibri" w:eastAsia="Calibri" w:cs="Calibri"/>
          <w:b w:val="0"/>
          <w:bCs w:val="0"/>
          <w:sz w:val="22"/>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"_Toc92121747" \o "#_Toc92121747" </w:instrText>
      </w:r>
      <w:r>
        <w:fldChar w:fldCharType="separate"/>
      </w:r>
      <w:r>
        <w:rPr>
          <w:rStyle w:val="37"/>
        </w:rPr>
        <w:t>1</w:t>
      </w:r>
      <w:r>
        <w:rPr>
          <w:rFonts w:ascii="Calibri" w:hAnsi="Calibri" w:eastAsia="Calibri" w:cs="Calibri"/>
          <w:b w:val="0"/>
          <w:bCs w:val="0"/>
          <w:sz w:val="22"/>
          <w:szCs w:val="22"/>
        </w:rPr>
        <w:tab/>
      </w:r>
      <w:r>
        <w:rPr>
          <w:rStyle w:val="37"/>
        </w:rPr>
        <w:t>项目概况</w:t>
      </w:r>
      <w:r>
        <w:tab/>
      </w:r>
      <w:r>
        <w:fldChar w:fldCharType="begin"/>
      </w:r>
      <w:r>
        <w:instrText xml:space="preserve"> PAGEREF _Toc92121747 \h </w:instrText>
      </w:r>
      <w:r>
        <w:fldChar w:fldCharType="separate"/>
      </w:r>
      <w:r>
        <w:t>3</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"_Toc92121748" \o "#_Toc92121748" </w:instrText>
      </w:r>
      <w:r>
        <w:fldChar w:fldCharType="separate"/>
      </w:r>
      <w:r>
        <w:rPr>
          <w:rStyle w:val="37"/>
          <w:lang w:val="en-GB"/>
        </w:rPr>
        <w:t>1.1</w:t>
      </w:r>
      <w:r>
        <w:rPr>
          <w:rFonts w:ascii="Calibri" w:hAnsi="Calibri" w:eastAsia="Calibri" w:cs="Calibri"/>
          <w:sz w:val="22"/>
          <w:szCs w:val="22"/>
        </w:rPr>
        <w:tab/>
      </w:r>
      <w:r>
        <w:rPr>
          <w:rStyle w:val="37"/>
        </w:rPr>
        <w:t>总平面图</w:t>
      </w:r>
      <w:r>
        <w:tab/>
      </w:r>
      <w:r>
        <w:fldChar w:fldCharType="begin"/>
      </w:r>
      <w:r>
        <w:instrText xml:space="preserve"> PAGEREF _Toc92121748 \h </w:instrText>
      </w:r>
      <w:r>
        <w:fldChar w:fldCharType="separate"/>
      </w:r>
      <w:r>
        <w:t>4</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"_Toc92121749" \o "#_Toc92121749" </w:instrText>
      </w:r>
      <w:r>
        <w:fldChar w:fldCharType="separate"/>
      </w:r>
      <w:r>
        <w:rPr>
          <w:rStyle w:val="37"/>
          <w:lang w:val="en-GB"/>
        </w:rPr>
        <w:t>1.2</w:t>
      </w:r>
      <w:r>
        <w:rPr>
          <w:rFonts w:ascii="Calibri" w:hAnsi="Calibri" w:eastAsia="Calibri" w:cs="Calibri"/>
          <w:sz w:val="22"/>
          <w:szCs w:val="22"/>
        </w:rPr>
        <w:tab/>
      </w:r>
      <w:r>
        <w:rPr>
          <w:rStyle w:val="37"/>
        </w:rPr>
        <w:t>三维视图</w:t>
      </w:r>
      <w:r>
        <w:tab/>
      </w:r>
      <w:r>
        <w:fldChar w:fldCharType="begin"/>
      </w:r>
      <w:r>
        <w:instrText xml:space="preserve"> PAGEREF _Toc92121749 \h </w:instrText>
      </w:r>
      <w:r>
        <w:fldChar w:fldCharType="separate"/>
      </w:r>
      <w:r>
        <w:t>5</w:t>
      </w:r>
      <w:r>
        <w:fldChar w:fldCharType="end"/>
      </w:r>
      <w:r>
        <w:fldChar w:fldCharType="end"/>
      </w:r>
    </w:p>
    <w:p>
      <w:pPr>
        <w:pStyle w:val="23"/>
        <w:rPr>
          <w:rFonts w:ascii="Calibri" w:hAnsi="Calibri" w:eastAsia="Calibri" w:cs="Calibri"/>
          <w:b w:val="0"/>
          <w:bCs w:val="0"/>
          <w:sz w:val="22"/>
          <w:szCs w:val="22"/>
        </w:rPr>
      </w:pPr>
      <w:r>
        <w:fldChar w:fldCharType="begin"/>
      </w:r>
      <w:r>
        <w:instrText xml:space="preserve"> HYPERLINK \l "_Toc92121750" \o "#_Toc92121750" </w:instrText>
      </w:r>
      <w:r>
        <w:fldChar w:fldCharType="separate"/>
      </w:r>
      <w:r>
        <w:rPr>
          <w:rStyle w:val="37"/>
        </w:rPr>
        <w:t>2</w:t>
      </w:r>
      <w:r>
        <w:rPr>
          <w:rFonts w:ascii="Calibri" w:hAnsi="Calibri" w:eastAsia="Calibri" w:cs="Calibri"/>
          <w:b w:val="0"/>
          <w:bCs w:val="0"/>
          <w:sz w:val="22"/>
          <w:szCs w:val="22"/>
        </w:rPr>
        <w:tab/>
      </w:r>
      <w:r>
        <w:rPr>
          <w:rStyle w:val="37"/>
        </w:rPr>
        <w:t>计算依据</w:t>
      </w:r>
      <w:r>
        <w:tab/>
      </w:r>
      <w:r>
        <w:fldChar w:fldCharType="begin"/>
      </w:r>
      <w:r>
        <w:instrText xml:space="preserve"> PAGEREF _Toc92121750 \h </w:instrText>
      </w:r>
      <w:r>
        <w:fldChar w:fldCharType="separate"/>
      </w:r>
      <w:r>
        <w:t>6</w:t>
      </w:r>
      <w:r>
        <w:fldChar w:fldCharType="end"/>
      </w:r>
      <w:r>
        <w:fldChar w:fldCharType="end"/>
      </w:r>
    </w:p>
    <w:p>
      <w:pPr>
        <w:pStyle w:val="23"/>
        <w:rPr>
          <w:rFonts w:ascii="Calibri" w:hAnsi="Calibri" w:eastAsia="Calibri" w:cs="Calibri"/>
          <w:b w:val="0"/>
          <w:bCs w:val="0"/>
          <w:sz w:val="22"/>
          <w:szCs w:val="22"/>
        </w:rPr>
      </w:pPr>
      <w:r>
        <w:fldChar w:fldCharType="begin"/>
      </w:r>
      <w:r>
        <w:instrText xml:space="preserve"> HYPERLINK \l "_Toc92121751" \o "#_Toc92121751" </w:instrText>
      </w:r>
      <w:r>
        <w:fldChar w:fldCharType="separate"/>
      </w:r>
      <w:r>
        <w:rPr>
          <w:rStyle w:val="37"/>
        </w:rPr>
        <w:t>3</w:t>
      </w:r>
      <w:r>
        <w:rPr>
          <w:rFonts w:ascii="Calibri" w:hAnsi="Calibri" w:eastAsia="Calibri" w:cs="Calibri"/>
          <w:b w:val="0"/>
          <w:bCs w:val="0"/>
          <w:sz w:val="22"/>
          <w:szCs w:val="22"/>
        </w:rPr>
        <w:tab/>
      </w:r>
      <w:r>
        <w:rPr>
          <w:rStyle w:val="37"/>
        </w:rPr>
        <w:t>参考标准</w:t>
      </w:r>
      <w:r>
        <w:tab/>
      </w:r>
      <w:r>
        <w:fldChar w:fldCharType="begin"/>
      </w:r>
      <w:r>
        <w:instrText xml:space="preserve"> PAGEREF _Toc92121751 \h </w:instrText>
      </w:r>
      <w:r>
        <w:fldChar w:fldCharType="separate"/>
      </w:r>
      <w:r>
        <w:t>6</w:t>
      </w:r>
      <w:r>
        <w:fldChar w:fldCharType="end"/>
      </w:r>
      <w:r>
        <w:fldChar w:fldCharType="end"/>
      </w:r>
    </w:p>
    <w:p>
      <w:pPr>
        <w:pStyle w:val="23"/>
        <w:rPr>
          <w:rFonts w:ascii="Calibri" w:hAnsi="Calibri" w:eastAsia="Calibri" w:cs="Calibri"/>
          <w:b w:val="0"/>
          <w:bCs w:val="0"/>
          <w:sz w:val="22"/>
          <w:szCs w:val="22"/>
        </w:rPr>
      </w:pPr>
      <w:r>
        <w:fldChar w:fldCharType="begin"/>
      </w:r>
      <w:r>
        <w:instrText xml:space="preserve"> HYPERLINK \l "_Toc92121752" \o "#_Toc92121752" </w:instrText>
      </w:r>
      <w:r>
        <w:fldChar w:fldCharType="separate"/>
      </w:r>
      <w:r>
        <w:rPr>
          <w:rStyle w:val="37"/>
        </w:rPr>
        <w:t>4</w:t>
      </w:r>
      <w:r>
        <w:rPr>
          <w:rFonts w:ascii="Calibri" w:hAnsi="Calibri" w:eastAsia="Calibri" w:cs="Calibri"/>
          <w:b w:val="0"/>
          <w:bCs w:val="0"/>
          <w:sz w:val="22"/>
          <w:szCs w:val="22"/>
        </w:rPr>
        <w:tab/>
      </w:r>
      <w:r>
        <w:rPr>
          <w:rStyle w:val="37"/>
        </w:rPr>
        <w:t>计算原理</w:t>
      </w:r>
      <w:r>
        <w:tab/>
      </w:r>
      <w:r>
        <w:fldChar w:fldCharType="begin"/>
      </w:r>
      <w:r>
        <w:instrText xml:space="preserve"> PAGEREF _Toc92121752 \h </w:instrText>
      </w:r>
      <w:r>
        <w:fldChar w:fldCharType="separate"/>
      </w:r>
      <w:r>
        <w:t>6</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"_Toc92121753" \o "#_Toc92121753" </w:instrText>
      </w:r>
      <w:r>
        <w:fldChar w:fldCharType="separate"/>
      </w:r>
      <w:r>
        <w:rPr>
          <w:rStyle w:val="37"/>
          <w:lang w:val="en-GB"/>
        </w:rPr>
        <w:t>4.1</w:t>
      </w:r>
      <w:r>
        <w:rPr>
          <w:rFonts w:ascii="Calibri" w:hAnsi="Calibri" w:eastAsia="Calibri" w:cs="Calibri"/>
          <w:sz w:val="22"/>
          <w:szCs w:val="22"/>
        </w:rPr>
        <w:tab/>
      </w:r>
      <w:r>
        <w:rPr>
          <w:rStyle w:val="37"/>
        </w:rPr>
        <w:t>风场计算域</w:t>
      </w:r>
      <w:r>
        <w:tab/>
      </w:r>
      <w:r>
        <w:fldChar w:fldCharType="begin"/>
      </w:r>
      <w:r>
        <w:instrText xml:space="preserve"> PAGEREF _Toc92121753 \h </w:instrText>
      </w:r>
      <w:r>
        <w:fldChar w:fldCharType="separate"/>
      </w:r>
      <w:r>
        <w:t>6</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"_Toc92121754" \o "#_Toc92121754" </w:instrText>
      </w:r>
      <w:r>
        <w:fldChar w:fldCharType="separate"/>
      </w:r>
      <w:r>
        <w:rPr>
          <w:rStyle w:val="37"/>
          <w:lang w:val="en-GB"/>
        </w:rPr>
        <w:t>4.1.1</w:t>
      </w:r>
      <w:r>
        <w:rPr>
          <w:rFonts w:ascii="Calibri" w:hAnsi="Calibri" w:eastAsia="Calibri" w:cs="Calibri"/>
          <w:sz w:val="22"/>
          <w:szCs w:val="22"/>
        </w:rPr>
        <w:tab/>
      </w:r>
      <w:r>
        <w:rPr>
          <w:rStyle w:val="37"/>
        </w:rPr>
        <w:t>冬季工况风场计算域</w:t>
      </w:r>
      <w:r>
        <w:tab/>
      </w:r>
      <w:r>
        <w:fldChar w:fldCharType="begin"/>
      </w:r>
      <w:r>
        <w:instrText xml:space="preserve"> PAGEREF _Toc92121754 \h </w:instrText>
      </w:r>
      <w:r>
        <w:fldChar w:fldCharType="separate"/>
      </w:r>
      <w:r>
        <w:t>6</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"_Toc92121755" \o "#_Toc92121755" </w:instrText>
      </w:r>
      <w:r>
        <w:fldChar w:fldCharType="separate"/>
      </w:r>
      <w:r>
        <w:rPr>
          <w:rStyle w:val="37"/>
          <w:lang w:val="en-GB"/>
        </w:rPr>
        <w:t>4.1.2</w:t>
      </w:r>
      <w:r>
        <w:rPr>
          <w:rFonts w:ascii="Calibri" w:hAnsi="Calibri" w:eastAsia="Calibri" w:cs="Calibri"/>
          <w:sz w:val="22"/>
          <w:szCs w:val="22"/>
        </w:rPr>
        <w:tab/>
      </w:r>
      <w:r>
        <w:rPr>
          <w:rStyle w:val="37"/>
        </w:rPr>
        <w:t>夏季工况风场计算域</w:t>
      </w:r>
      <w:r>
        <w:tab/>
      </w:r>
      <w:r>
        <w:fldChar w:fldCharType="begin"/>
      </w:r>
      <w:r>
        <w:instrText xml:space="preserve"> PAGEREF _Toc92121755 \h </w:instrText>
      </w:r>
      <w:r>
        <w:fldChar w:fldCharType="separate"/>
      </w:r>
      <w:r>
        <w:t>7</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"_Toc92121756" \o "#_Toc92121756" </w:instrText>
      </w:r>
      <w:r>
        <w:fldChar w:fldCharType="separate"/>
      </w:r>
      <w:r>
        <w:rPr>
          <w:rStyle w:val="37"/>
          <w:lang w:val="en-GB"/>
        </w:rPr>
        <w:t>4.2</w:t>
      </w:r>
      <w:r>
        <w:rPr>
          <w:rFonts w:ascii="Calibri" w:hAnsi="Calibri" w:eastAsia="Calibri" w:cs="Calibri"/>
          <w:sz w:val="22"/>
          <w:szCs w:val="22"/>
        </w:rPr>
        <w:tab/>
      </w:r>
      <w:r>
        <w:rPr>
          <w:rStyle w:val="37"/>
        </w:rPr>
        <w:t>网格划分</w:t>
      </w:r>
      <w:r>
        <w:tab/>
      </w:r>
      <w:r>
        <w:fldChar w:fldCharType="begin"/>
      </w:r>
      <w:r>
        <w:instrText xml:space="preserve"> PAGEREF _Toc92121756 \h </w:instrText>
      </w:r>
      <w:r>
        <w:fldChar w:fldCharType="separate"/>
      </w:r>
      <w:r>
        <w:t>8</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"_Toc92121757" \o "#_Toc92121757" </w:instrText>
      </w:r>
      <w:r>
        <w:fldChar w:fldCharType="separate"/>
      </w:r>
      <w:r>
        <w:rPr>
          <w:rStyle w:val="37"/>
          <w:lang w:val="en-GB"/>
        </w:rPr>
        <w:t>4.3</w:t>
      </w:r>
      <w:r>
        <w:rPr>
          <w:rFonts w:ascii="Calibri" w:hAnsi="Calibri" w:eastAsia="Calibri" w:cs="Calibri"/>
          <w:sz w:val="22"/>
          <w:szCs w:val="22"/>
        </w:rPr>
        <w:tab/>
      </w:r>
      <w:r>
        <w:rPr>
          <w:rStyle w:val="37"/>
        </w:rPr>
        <w:t>边界条件</w:t>
      </w:r>
      <w:r>
        <w:tab/>
      </w:r>
      <w:r>
        <w:fldChar w:fldCharType="begin"/>
      </w:r>
      <w:r>
        <w:instrText xml:space="preserve"> PAGEREF _Toc92121757 \h </w:instrText>
      </w:r>
      <w:r>
        <w:fldChar w:fldCharType="separate"/>
      </w:r>
      <w:r>
        <w:t>9</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"_Toc92121758" \o "#_Toc92121758" </w:instrText>
      </w:r>
      <w:r>
        <w:fldChar w:fldCharType="separate"/>
      </w:r>
      <w:r>
        <w:rPr>
          <w:rStyle w:val="37"/>
          <w:lang w:val="en-GB"/>
        </w:rPr>
        <w:t>4.3.1</w:t>
      </w:r>
      <w:r>
        <w:rPr>
          <w:rFonts w:ascii="Calibri" w:hAnsi="Calibri" w:eastAsia="Calibri" w:cs="Calibri"/>
          <w:sz w:val="22"/>
          <w:szCs w:val="22"/>
        </w:rPr>
        <w:tab/>
      </w:r>
      <w:r>
        <w:rPr>
          <w:rStyle w:val="37"/>
        </w:rPr>
        <w:t>入口与出口边界条件</w:t>
      </w:r>
      <w:r>
        <w:tab/>
      </w:r>
      <w:r>
        <w:fldChar w:fldCharType="begin"/>
      </w:r>
      <w:r>
        <w:instrText xml:space="preserve"> PAGEREF _Toc92121758 \h </w:instrText>
      </w:r>
      <w:r>
        <w:fldChar w:fldCharType="separate"/>
      </w:r>
      <w:r>
        <w:t>9</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"_Toc92121759" \o "#_Toc92121759" </w:instrText>
      </w:r>
      <w:r>
        <w:fldChar w:fldCharType="separate"/>
      </w:r>
      <w:r>
        <w:rPr>
          <w:rStyle w:val="37"/>
          <w:lang w:val="en-GB"/>
        </w:rPr>
        <w:t>4.3.2</w:t>
      </w:r>
      <w:r>
        <w:rPr>
          <w:rFonts w:ascii="Calibri" w:hAnsi="Calibri" w:eastAsia="Calibri" w:cs="Calibri"/>
          <w:sz w:val="22"/>
          <w:szCs w:val="22"/>
        </w:rPr>
        <w:tab/>
      </w:r>
      <w:r>
        <w:rPr>
          <w:rStyle w:val="37"/>
        </w:rPr>
        <w:t>壁面边界条件</w:t>
      </w:r>
      <w:r>
        <w:tab/>
      </w:r>
      <w:r>
        <w:fldChar w:fldCharType="begin"/>
      </w:r>
      <w:r>
        <w:instrText xml:space="preserve"> PAGEREF _Toc92121759 \h </w:instrText>
      </w:r>
      <w:r>
        <w:fldChar w:fldCharType="separate"/>
      </w:r>
      <w:r>
        <w:t>10</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"_Toc92121760" \o "#_Toc92121760" </w:instrText>
      </w:r>
      <w:r>
        <w:fldChar w:fldCharType="separate"/>
      </w:r>
      <w:r>
        <w:rPr>
          <w:rStyle w:val="37"/>
          <w:lang w:val="en-GB"/>
        </w:rPr>
        <w:t>4.4</w:t>
      </w:r>
      <w:r>
        <w:rPr>
          <w:rFonts w:ascii="Calibri" w:hAnsi="Calibri" w:eastAsia="Calibri" w:cs="Calibri"/>
          <w:sz w:val="22"/>
          <w:szCs w:val="22"/>
        </w:rPr>
        <w:tab/>
      </w:r>
      <w:r>
        <w:rPr>
          <w:rStyle w:val="37"/>
        </w:rPr>
        <w:t>湍流模型</w:t>
      </w:r>
      <w:r>
        <w:tab/>
      </w:r>
      <w:r>
        <w:fldChar w:fldCharType="begin"/>
      </w:r>
      <w:r>
        <w:instrText xml:space="preserve"> PAGEREF _Toc92121760 \h </w:instrText>
      </w:r>
      <w:r>
        <w:fldChar w:fldCharType="separate"/>
      </w:r>
      <w:r>
        <w:t>10</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"_Toc92121761" \o "#_Toc92121761" </w:instrText>
      </w:r>
      <w:r>
        <w:fldChar w:fldCharType="separate"/>
      </w:r>
      <w:r>
        <w:rPr>
          <w:rStyle w:val="37"/>
          <w:lang w:val="en-GB"/>
        </w:rPr>
        <w:t>4.5</w:t>
      </w:r>
      <w:r>
        <w:rPr>
          <w:rFonts w:ascii="Calibri" w:hAnsi="Calibri" w:eastAsia="Calibri" w:cs="Calibri"/>
          <w:sz w:val="22"/>
          <w:szCs w:val="22"/>
        </w:rPr>
        <w:tab/>
      </w:r>
      <w:r>
        <w:rPr>
          <w:rStyle w:val="37"/>
        </w:rPr>
        <w:t>求解计算</w:t>
      </w:r>
      <w:r>
        <w:tab/>
      </w:r>
      <w:r>
        <w:fldChar w:fldCharType="begin"/>
      </w:r>
      <w:r>
        <w:instrText xml:space="preserve"> PAGEREF _Toc92121761 \h </w:instrText>
      </w:r>
      <w:r>
        <w:fldChar w:fldCharType="separate"/>
      </w:r>
      <w:r>
        <w:t>11</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"_Toc92121762" \o "#_Toc92121762" </w:instrText>
      </w:r>
      <w:r>
        <w:fldChar w:fldCharType="separate"/>
      </w:r>
      <w:r>
        <w:rPr>
          <w:rStyle w:val="37"/>
          <w:lang w:val="en-GB"/>
        </w:rPr>
        <w:t>4.6</w:t>
      </w:r>
      <w:r>
        <w:rPr>
          <w:rFonts w:ascii="Calibri" w:hAnsi="Calibri" w:eastAsia="Calibri" w:cs="Calibri"/>
          <w:sz w:val="22"/>
          <w:szCs w:val="22"/>
        </w:rPr>
        <w:tab/>
      </w:r>
      <w:r>
        <w:rPr>
          <w:rStyle w:val="37"/>
        </w:rPr>
        <w:t>风速放大系数计算</w:t>
      </w:r>
      <w:r>
        <w:tab/>
      </w:r>
      <w:r>
        <w:fldChar w:fldCharType="begin"/>
      </w:r>
      <w:r>
        <w:instrText xml:space="preserve"> PAGEREF _Toc92121762 \h </w:instrText>
      </w:r>
      <w:r>
        <w:fldChar w:fldCharType="separate"/>
      </w:r>
      <w:r>
        <w:t>12</w:t>
      </w:r>
      <w:r>
        <w:fldChar w:fldCharType="end"/>
      </w:r>
      <w:r>
        <w:fldChar w:fldCharType="end"/>
      </w:r>
    </w:p>
    <w:p>
      <w:pPr>
        <w:pStyle w:val="23"/>
        <w:rPr>
          <w:rFonts w:ascii="Calibri" w:hAnsi="Calibri" w:eastAsia="Calibri" w:cs="Calibri"/>
          <w:b w:val="0"/>
          <w:bCs w:val="0"/>
          <w:sz w:val="22"/>
          <w:szCs w:val="22"/>
        </w:rPr>
      </w:pPr>
      <w:r>
        <w:fldChar w:fldCharType="begin"/>
      </w:r>
      <w:r>
        <w:instrText xml:space="preserve"> HYPERLINK \l "_Toc92121763" \o "#_Toc92121763" </w:instrText>
      </w:r>
      <w:r>
        <w:fldChar w:fldCharType="separate"/>
      </w:r>
      <w:r>
        <w:rPr>
          <w:rStyle w:val="37"/>
        </w:rPr>
        <w:t>5</w:t>
      </w:r>
      <w:r>
        <w:rPr>
          <w:rFonts w:ascii="Calibri" w:hAnsi="Calibri" w:eastAsia="Calibri" w:cs="Calibri"/>
          <w:b w:val="0"/>
          <w:bCs w:val="0"/>
          <w:sz w:val="22"/>
          <w:szCs w:val="22"/>
        </w:rPr>
        <w:tab/>
      </w:r>
      <w:r>
        <w:rPr>
          <w:rStyle w:val="37"/>
        </w:rPr>
        <w:t>结果分析</w:t>
      </w:r>
      <w:r>
        <w:tab/>
      </w:r>
      <w:r>
        <w:fldChar w:fldCharType="begin"/>
      </w:r>
      <w:r>
        <w:instrText xml:space="preserve"> PAGEREF _Toc92121763 \h </w:instrText>
      </w:r>
      <w:r>
        <w:fldChar w:fldCharType="separate"/>
      </w:r>
      <w:r>
        <w:t>13</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"_Toc92121764" \o "#_Toc92121764" </w:instrText>
      </w:r>
      <w:r>
        <w:fldChar w:fldCharType="separate"/>
      </w:r>
      <w:r>
        <w:rPr>
          <w:rStyle w:val="37"/>
          <w:lang w:val="en-GB"/>
        </w:rPr>
        <w:t>5.1</w:t>
      </w:r>
      <w:r>
        <w:rPr>
          <w:rFonts w:ascii="Calibri" w:hAnsi="Calibri" w:eastAsia="Calibri" w:cs="Calibri"/>
          <w:sz w:val="22"/>
          <w:szCs w:val="22"/>
        </w:rPr>
        <w:tab/>
      </w:r>
      <w:r>
        <w:rPr>
          <w:rStyle w:val="37"/>
        </w:rPr>
        <w:t>工况表</w:t>
      </w:r>
      <w:r>
        <w:tab/>
      </w:r>
      <w:r>
        <w:fldChar w:fldCharType="begin"/>
      </w:r>
      <w:r>
        <w:instrText xml:space="preserve"> PAGEREF _Toc92121764 \h </w:instrText>
      </w:r>
      <w:r>
        <w:fldChar w:fldCharType="separate"/>
      </w:r>
      <w:r>
        <w:t>13</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"_Toc92121765" \o "#_Toc92121765" </w:instrText>
      </w:r>
      <w:r>
        <w:fldChar w:fldCharType="separate"/>
      </w:r>
      <w:r>
        <w:rPr>
          <w:rStyle w:val="37"/>
          <w:lang w:val="en-GB"/>
        </w:rPr>
        <w:t>5.2</w:t>
      </w:r>
      <w:r>
        <w:rPr>
          <w:rFonts w:ascii="Calibri" w:hAnsi="Calibri" w:eastAsia="Calibri" w:cs="Calibri"/>
          <w:sz w:val="22"/>
          <w:szCs w:val="22"/>
        </w:rPr>
        <w:tab/>
      </w:r>
      <w:r>
        <w:rPr>
          <w:rStyle w:val="37"/>
        </w:rPr>
        <w:t>冬季工况</w:t>
      </w:r>
      <w:r>
        <w:tab/>
      </w:r>
      <w:r>
        <w:fldChar w:fldCharType="begin"/>
      </w:r>
      <w:r>
        <w:instrText xml:space="preserve"> PAGEREF _Toc92121765 \h </w:instrText>
      </w:r>
      <w:r>
        <w:fldChar w:fldCharType="separate"/>
      </w:r>
      <w:r>
        <w:t>13</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"_Toc92121766" \o "#_Toc92121766" </w:instrText>
      </w:r>
      <w:r>
        <w:fldChar w:fldCharType="separate"/>
      </w:r>
      <w:r>
        <w:rPr>
          <w:rStyle w:val="37"/>
          <w:lang w:val="en-GB"/>
        </w:rPr>
        <w:t>5.2.1</w:t>
      </w:r>
      <w:r>
        <w:rPr>
          <w:rFonts w:ascii="Calibri" w:hAnsi="Calibri" w:eastAsia="Calibri" w:cs="Calibri"/>
          <w:sz w:val="22"/>
          <w:szCs w:val="22"/>
        </w:rPr>
        <w:tab/>
      </w:r>
      <w:r>
        <w:rPr>
          <w:rStyle w:val="37"/>
        </w:rPr>
        <w:t>风速达标分析</w:t>
      </w:r>
      <w:r>
        <w:tab/>
      </w:r>
      <w:r>
        <w:fldChar w:fldCharType="begin"/>
      </w:r>
      <w:r>
        <w:instrText xml:space="preserve"> PAGEREF _Toc92121766 \h </w:instrText>
      </w:r>
      <w:r>
        <w:fldChar w:fldCharType="separate"/>
      </w:r>
      <w:r>
        <w:t>13</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"_Toc92121767" \o "#_Toc92121767" </w:instrText>
      </w:r>
      <w:r>
        <w:fldChar w:fldCharType="separate"/>
      </w:r>
      <w:r>
        <w:rPr>
          <w:rStyle w:val="37"/>
          <w:lang w:val="en-GB"/>
        </w:rPr>
        <w:t>5.2.2</w:t>
      </w:r>
      <w:r>
        <w:rPr>
          <w:rFonts w:ascii="Calibri" w:hAnsi="Calibri" w:eastAsia="Calibri" w:cs="Calibri"/>
          <w:sz w:val="22"/>
          <w:szCs w:val="22"/>
        </w:rPr>
        <w:tab/>
      </w:r>
      <w:r>
        <w:rPr>
          <w:rStyle w:val="37"/>
        </w:rPr>
        <w:t>风速放大系数达标分析</w:t>
      </w:r>
      <w:r>
        <w:tab/>
      </w:r>
      <w:r>
        <w:fldChar w:fldCharType="begin"/>
      </w:r>
      <w:r>
        <w:instrText xml:space="preserve"> PAGEREF _Toc92121767 \h </w:instrText>
      </w:r>
      <w:r>
        <w:fldChar w:fldCharType="separate"/>
      </w:r>
      <w:r>
        <w:t>14</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"_Toc92121768" \o "#_Toc92121768" </w:instrText>
      </w:r>
      <w:r>
        <w:fldChar w:fldCharType="separate"/>
      </w:r>
      <w:r>
        <w:rPr>
          <w:rStyle w:val="37"/>
          <w:lang w:val="en-GB"/>
        </w:rPr>
        <w:t>5.2.3</w:t>
      </w:r>
      <w:r>
        <w:rPr>
          <w:rFonts w:ascii="Calibri" w:hAnsi="Calibri" w:eastAsia="Calibri" w:cs="Calibri"/>
          <w:sz w:val="22"/>
          <w:szCs w:val="22"/>
        </w:rPr>
        <w:tab/>
      </w:r>
      <w:r>
        <w:rPr>
          <w:rStyle w:val="37"/>
          <w:rFonts w:cs="宋体"/>
          <w:lang w:val="en-GB"/>
        </w:rPr>
        <w:t>人行区域</w:t>
      </w:r>
      <w:r>
        <w:rPr>
          <w:rStyle w:val="37"/>
        </w:rPr>
        <w:t>冬季工况风速/风速放大系数达标判定</w:t>
      </w:r>
      <w:r>
        <w:tab/>
      </w:r>
      <w:r>
        <w:fldChar w:fldCharType="begin"/>
      </w:r>
      <w:r>
        <w:instrText xml:space="preserve"> PAGEREF _Toc92121768 \h </w:instrText>
      </w:r>
      <w:r>
        <w:fldChar w:fldCharType="separate"/>
      </w:r>
      <w:r>
        <w:t>15</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"_Toc92121769" \o "#_Toc92121769" </w:instrText>
      </w:r>
      <w:r>
        <w:fldChar w:fldCharType="separate"/>
      </w:r>
      <w:r>
        <w:rPr>
          <w:rStyle w:val="37"/>
          <w:lang w:val="en-GB"/>
        </w:rPr>
        <w:t>5.2.4</w:t>
      </w:r>
      <w:r>
        <w:rPr>
          <w:rFonts w:ascii="Calibri" w:hAnsi="Calibri" w:eastAsia="Calibri" w:cs="Calibri"/>
          <w:sz w:val="22"/>
          <w:szCs w:val="22"/>
        </w:rPr>
        <w:tab/>
      </w:r>
      <w:r>
        <w:rPr>
          <w:rStyle w:val="37"/>
        </w:rPr>
        <w:t>建筑迎风面和背风面风压分析</w:t>
      </w:r>
      <w:r>
        <w:tab/>
      </w:r>
      <w:r>
        <w:fldChar w:fldCharType="begin"/>
      </w:r>
      <w:r>
        <w:instrText xml:space="preserve"> PAGEREF _Toc92121769 \h </w:instrText>
      </w:r>
      <w:r>
        <w:fldChar w:fldCharType="separate"/>
      </w:r>
      <w:r>
        <w:t>15</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"_Toc92121770" \o "#_Toc92121770" </w:instrText>
      </w:r>
      <w:r>
        <w:fldChar w:fldCharType="separate"/>
      </w:r>
      <w:r>
        <w:rPr>
          <w:rStyle w:val="37"/>
          <w:lang w:val="en-GB"/>
        </w:rPr>
        <w:t>5.3</w:t>
      </w:r>
      <w:r>
        <w:rPr>
          <w:rFonts w:ascii="Calibri" w:hAnsi="Calibri" w:eastAsia="Calibri" w:cs="Calibri"/>
          <w:sz w:val="22"/>
          <w:szCs w:val="22"/>
        </w:rPr>
        <w:tab/>
      </w:r>
      <w:r>
        <w:rPr>
          <w:rStyle w:val="37"/>
        </w:rPr>
        <w:t>夏季工况</w:t>
      </w:r>
      <w:r>
        <w:tab/>
      </w:r>
      <w:r>
        <w:fldChar w:fldCharType="begin"/>
      </w:r>
      <w:r>
        <w:instrText xml:space="preserve"> PAGEREF _Toc92121770 \h </w:instrText>
      </w:r>
      <w:r>
        <w:fldChar w:fldCharType="separate"/>
      </w:r>
      <w:r>
        <w:t>19</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"_Toc92121771" \o "#_Toc92121771" </w:instrText>
      </w:r>
      <w:r>
        <w:fldChar w:fldCharType="separate"/>
      </w:r>
      <w:r>
        <w:rPr>
          <w:rStyle w:val="37"/>
          <w:lang w:val="en-GB"/>
        </w:rPr>
        <w:t>5.3.1</w:t>
      </w:r>
      <w:r>
        <w:rPr>
          <w:rFonts w:ascii="Calibri" w:hAnsi="Calibri" w:eastAsia="Calibri" w:cs="Calibri"/>
          <w:sz w:val="22"/>
          <w:szCs w:val="22"/>
        </w:rPr>
        <w:tab/>
      </w:r>
      <w:r>
        <w:rPr>
          <w:rStyle w:val="37"/>
        </w:rPr>
        <w:t>无风区计算分析</w:t>
      </w:r>
      <w:r>
        <w:tab/>
      </w:r>
      <w:r>
        <w:fldChar w:fldCharType="begin"/>
      </w:r>
      <w:r>
        <w:instrText xml:space="preserve"> PAGEREF _Toc92121771 \h </w:instrText>
      </w:r>
      <w:r>
        <w:fldChar w:fldCharType="separate"/>
      </w:r>
      <w:r>
        <w:t>19</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"_Toc92121772" \o "#_Toc92121772" </w:instrText>
      </w:r>
      <w:r>
        <w:fldChar w:fldCharType="separate"/>
      </w:r>
      <w:r>
        <w:rPr>
          <w:rStyle w:val="37"/>
          <w:lang w:val="en-GB"/>
        </w:rPr>
        <w:t>5.3.2</w:t>
      </w:r>
      <w:r>
        <w:rPr>
          <w:rFonts w:ascii="Calibri" w:hAnsi="Calibri" w:eastAsia="Calibri" w:cs="Calibri"/>
          <w:sz w:val="22"/>
          <w:szCs w:val="22"/>
        </w:rPr>
        <w:tab/>
      </w:r>
      <w:r>
        <w:rPr>
          <w:rStyle w:val="37"/>
        </w:rPr>
        <w:t>旋涡区分析</w:t>
      </w:r>
      <w:r>
        <w:tab/>
      </w:r>
      <w:r>
        <w:fldChar w:fldCharType="begin"/>
      </w:r>
      <w:r>
        <w:instrText xml:space="preserve"> PAGEREF _Toc92121772 \h </w:instrText>
      </w:r>
      <w:r>
        <w:fldChar w:fldCharType="separate"/>
      </w:r>
      <w:r>
        <w:t>19</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"_Toc92121773" \o "#_Toc92121773" </w:instrText>
      </w:r>
      <w:r>
        <w:fldChar w:fldCharType="separate"/>
      </w:r>
      <w:r>
        <w:rPr>
          <w:rStyle w:val="37"/>
          <w:lang w:val="en-GB"/>
        </w:rPr>
        <w:t>5.3.3</w:t>
      </w:r>
      <w:r>
        <w:rPr>
          <w:rFonts w:ascii="Calibri" w:hAnsi="Calibri" w:eastAsia="Calibri" w:cs="Calibri"/>
          <w:sz w:val="22"/>
          <w:szCs w:val="22"/>
        </w:rPr>
        <w:tab/>
      </w:r>
      <w:r>
        <w:rPr>
          <w:rStyle w:val="37"/>
        </w:rPr>
        <w:t>人行区域旋涡区/无风区达标判定</w:t>
      </w:r>
      <w:r>
        <w:tab/>
      </w:r>
      <w:r>
        <w:fldChar w:fldCharType="begin"/>
      </w:r>
      <w:r>
        <w:instrText xml:space="preserve"> PAGEREF _Toc92121773 \h </w:instrText>
      </w:r>
      <w:r>
        <w:fldChar w:fldCharType="separate"/>
      </w:r>
      <w:r>
        <w:t>20</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"_Toc92121774" \o "#_Toc92121774" </w:instrText>
      </w:r>
      <w:r>
        <w:fldChar w:fldCharType="separate"/>
      </w:r>
      <w:r>
        <w:rPr>
          <w:rStyle w:val="37"/>
          <w:lang w:val="en-GB"/>
        </w:rPr>
        <w:t>5.3.4</w:t>
      </w:r>
      <w:r>
        <w:rPr>
          <w:rFonts w:ascii="Calibri" w:hAnsi="Calibri" w:eastAsia="Calibri" w:cs="Calibri"/>
          <w:sz w:val="22"/>
          <w:szCs w:val="22"/>
        </w:rPr>
        <w:tab/>
      </w:r>
      <w:r>
        <w:rPr>
          <w:rStyle w:val="37"/>
        </w:rPr>
        <w:t>外窗内外表面风压差达标分析</w:t>
      </w:r>
      <w:r>
        <w:tab/>
      </w:r>
      <w:r>
        <w:fldChar w:fldCharType="begin"/>
      </w:r>
      <w:r>
        <w:instrText xml:space="preserve"> PAGEREF _Toc92121774 \h </w:instrText>
      </w:r>
      <w:r>
        <w:fldChar w:fldCharType="separate"/>
      </w:r>
      <w:r>
        <w:t>20</w:t>
      </w:r>
      <w:r>
        <w:fldChar w:fldCharType="end"/>
      </w:r>
      <w:r>
        <w:fldChar w:fldCharType="end"/>
      </w:r>
    </w:p>
    <w:p>
      <w:pPr>
        <w:pStyle w:val="28"/>
        <w:rPr>
          <w:rFonts w:ascii="Calibri" w:hAnsi="Calibri" w:eastAsia="Calibri" w:cs="Calibri"/>
          <w:sz w:val="22"/>
          <w:szCs w:val="22"/>
        </w:rPr>
      </w:pPr>
      <w:r>
        <w:fldChar w:fldCharType="begin"/>
      </w:r>
      <w:r>
        <w:instrText xml:space="preserve"> HYPERLINK \l "_Toc92121775" \o "#_Toc92121775" </w:instrText>
      </w:r>
      <w:r>
        <w:fldChar w:fldCharType="separate"/>
      </w:r>
      <w:r>
        <w:rPr>
          <w:rStyle w:val="37"/>
          <w:lang w:val="en-GB"/>
        </w:rPr>
        <w:t>5.4</w:t>
      </w:r>
      <w:r>
        <w:rPr>
          <w:rFonts w:ascii="Calibri" w:hAnsi="Calibri" w:eastAsia="Calibri" w:cs="Calibri"/>
          <w:sz w:val="22"/>
          <w:szCs w:val="22"/>
        </w:rPr>
        <w:tab/>
      </w:r>
      <w:r>
        <w:rPr>
          <w:rStyle w:val="37"/>
        </w:rPr>
        <w:t>结论</w:t>
      </w:r>
      <w:r>
        <w:tab/>
      </w:r>
      <w:r>
        <w:fldChar w:fldCharType="begin"/>
      </w:r>
      <w:r>
        <w:instrText xml:space="preserve"> PAGEREF _Toc92121775 \h </w:instrText>
      </w:r>
      <w:r>
        <w:fldChar w:fldCharType="separate"/>
      </w:r>
      <w:r>
        <w:t>23</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"_Toc92121776" \o "#_Toc92121776" </w:instrText>
      </w:r>
      <w:r>
        <w:fldChar w:fldCharType="separate"/>
      </w:r>
      <w:r>
        <w:rPr>
          <w:rStyle w:val="37"/>
          <w:lang w:val="en-GB"/>
        </w:rPr>
        <w:t>5.4.1</w:t>
      </w:r>
      <w:r>
        <w:rPr>
          <w:rFonts w:ascii="Calibri" w:hAnsi="Calibri" w:eastAsia="Calibri" w:cs="Calibri"/>
          <w:sz w:val="22"/>
          <w:szCs w:val="22"/>
        </w:rPr>
        <w:tab/>
      </w:r>
      <w:r>
        <w:rPr>
          <w:rStyle w:val="37"/>
        </w:rPr>
        <w:t>冬季工况达标判断</w:t>
      </w:r>
      <w:r>
        <w:tab/>
      </w:r>
      <w:r>
        <w:fldChar w:fldCharType="begin"/>
      </w:r>
      <w:r>
        <w:instrText xml:space="preserve"> PAGEREF _Toc92121776 \h </w:instrText>
      </w:r>
      <w:r>
        <w:fldChar w:fldCharType="separate"/>
      </w:r>
      <w:r>
        <w:t>23</w:t>
      </w:r>
      <w:r>
        <w:fldChar w:fldCharType="end"/>
      </w:r>
      <w:r>
        <w:fldChar w:fldCharType="end"/>
      </w:r>
    </w:p>
    <w:p>
      <w:pPr>
        <w:pStyle w:val="17"/>
        <w:rPr>
          <w:rFonts w:ascii="Calibri" w:hAnsi="Calibri" w:eastAsia="Calibri" w:cs="Calibri"/>
          <w:sz w:val="22"/>
          <w:szCs w:val="22"/>
        </w:rPr>
      </w:pPr>
      <w:r>
        <w:fldChar w:fldCharType="begin"/>
      </w:r>
      <w:r>
        <w:instrText xml:space="preserve"> HYPERLINK \l "_Toc92121777" \o "#_Toc92121777" </w:instrText>
      </w:r>
      <w:r>
        <w:fldChar w:fldCharType="separate"/>
      </w:r>
      <w:r>
        <w:rPr>
          <w:rStyle w:val="37"/>
          <w:lang w:val="en-GB"/>
        </w:rPr>
        <w:t>5.4.2</w:t>
      </w:r>
      <w:r>
        <w:rPr>
          <w:rFonts w:ascii="Calibri" w:hAnsi="Calibri" w:eastAsia="Calibri" w:cs="Calibri"/>
          <w:sz w:val="22"/>
          <w:szCs w:val="22"/>
        </w:rPr>
        <w:tab/>
      </w:r>
      <w:r>
        <w:rPr>
          <w:rStyle w:val="37"/>
        </w:rPr>
        <w:t>过渡季、夏季工况达标判断</w:t>
      </w:r>
      <w:r>
        <w:tab/>
      </w:r>
      <w:r>
        <w:fldChar w:fldCharType="begin"/>
      </w:r>
      <w:r>
        <w:instrText xml:space="preserve"> PAGEREF _Toc92121777 \h </w:instrText>
      </w:r>
      <w:r>
        <w:fldChar w:fldCharType="separate"/>
      </w:r>
      <w:r>
        <w:t>23</w:t>
      </w:r>
      <w:r>
        <w:fldChar w:fldCharType="end"/>
      </w:r>
      <w:r>
        <w:fldChar w:fldCharType="end"/>
      </w:r>
    </w:p>
    <w:p>
      <w:pPr>
        <w:pStyle w:val="23"/>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linePitch="360" w:charSpace="0"/>
        </w:sectPr>
      </w:pPr>
      <w:r>
        <w:fldChar w:fldCharType="end"/>
      </w:r>
    </w:p>
    <w:p>
      <w:pPr>
        <w:pStyle w:val="2"/>
      </w:pPr>
      <w:bookmarkStart w:id="6" w:name="_Toc92121747"/>
      <w:bookmarkStart w:id="7" w:name="_Toc452108759"/>
      <w:r>
        <w:rPr>
          <w:rFonts w:hint="eastAsia"/>
        </w:rPr>
        <w:t>项目概况</w:t>
      </w:r>
      <w:bookmarkEnd w:id="6"/>
      <w:bookmarkEnd w:id="7"/>
    </w:p>
    <w:p>
      <w:pPr>
        <w:pStyle w:val="3"/>
        <w:ind w:firstLine="420"/>
        <w:rPr>
          <w:lang w:val="en-US"/>
        </w:rPr>
      </w:pPr>
      <w:r>
        <w:rPr>
          <w:rFonts w:hint="eastAsia"/>
          <w:lang w:val="en-US"/>
        </w:rPr>
        <w:t>本项目主要为在万达广场周边工作的年轻工作者提供单身公寓住宅式的临时住宅。</w:t>
      </w:r>
    </w:p>
    <w:p>
      <w:pPr>
        <w:pStyle w:val="3"/>
        <w:ind w:firstLine="420"/>
        <w:rPr>
          <w:lang w:val="en-US"/>
        </w:rPr>
      </w:pPr>
      <w:r>
        <w:rPr>
          <w:rFonts w:hint="eastAsia"/>
          <w:lang w:val="en-US"/>
        </w:rPr>
        <w:t>场地小而狭长，不宜建高层建筑，所以建筑高度控制在五层以内。</w:t>
      </w:r>
    </w:p>
    <w:p>
      <w:pPr>
        <w:pStyle w:val="3"/>
        <w:ind w:firstLine="420"/>
        <w:rPr>
          <w:lang w:val="en-US"/>
        </w:rPr>
      </w:pPr>
      <w:r>
        <w:rPr>
          <w:rFonts w:hint="eastAsia"/>
          <w:lang w:val="en-US"/>
        </w:rPr>
        <w:t>根据地块狭长的特点采用了单廊式长建筑体块，左右两个体块各向内倾斜五度形成折角来适应地块的弧度。</w:t>
      </w:r>
    </w:p>
    <w:p>
      <w:pPr>
        <w:pStyle w:val="3"/>
        <w:ind w:firstLine="420"/>
        <w:rPr>
          <w:lang w:val="en-US"/>
        </w:rPr>
      </w:pPr>
      <w:r>
        <w:rPr>
          <w:rFonts w:hint="eastAsia"/>
          <w:lang w:val="en-US"/>
        </w:rPr>
        <w:t>内部户型采用单元式布局，每个单元每层都有自己的活动空间，活动空间前后通透，减少建筑对自然风的遮挡，增加建筑通风。</w:t>
      </w:r>
    </w:p>
    <w:p>
      <w:pPr>
        <w:pStyle w:val="3"/>
        <w:ind w:firstLine="420"/>
        <w:rPr>
          <w:lang w:val="en-US"/>
        </w:rPr>
      </w:pPr>
      <w:r>
        <w:rPr>
          <w:rFonts w:hint="eastAsia"/>
          <w:lang w:val="en-US"/>
        </w:rPr>
        <w:t>户型走廊侧墙面较实，以保证私密性；阳台侧做了大面积开窗，保证光照充足的同时更是可以在晴朗的天气享受明媚的阳关，阳台装配了活动式彩色玻璃挡光板，既能调节光照强度，也能改变光照色彩，调节光照氛围。</w:t>
      </w: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linePitch="360" w:charSpace="0"/>
        </w:sectPr>
      </w:pPr>
    </w:p>
    <w:p>
      <w:pPr>
        <w:pStyle w:val="4"/>
      </w:pPr>
      <w:bookmarkStart w:id="8" w:name="_Toc452108760"/>
      <w:bookmarkStart w:id="9" w:name="_Toc92121748"/>
      <w:r>
        <w:rPr>
          <w:rFonts w:hint="eastAsia"/>
        </w:rPr>
        <w:t>总</w:t>
      </w:r>
      <w:r>
        <w:t>平面图</w:t>
      </w:r>
      <w:bookmarkEnd w:id="8"/>
      <w:bookmarkEnd w:id="9"/>
    </w:p>
    <w:p>
      <w:pPr>
        <w:pStyle w:val="3"/>
        <w:ind w:firstLine="0"/>
        <w:jc w:val="center"/>
        <w:rPr>
          <w:lang w:val="en-US"/>
        </w:rPr>
      </w:pPr>
      <w:r>
        <w:rPr>
          <w:rFonts w:hint="eastAsia"/>
          <w:lang w:val="en-US"/>
        </w:rPr>
        <w:t xml:space="preserve"> </w:t>
      </w:r>
      <w:bookmarkStart w:id="10" w:name="总平面图"/>
      <w:bookmarkEnd w:id="10"/>
      <w:r>
        <w:drawing>
          <wp:inline distT="0" distB="0" distL="0" distR="0">
            <wp:extent cx="5667375" cy="3810000"/>
            <wp:effectExtent l="0" t="0" r="1905" b="0"/>
            <wp:docPr id="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bookmarkStart w:id="162" w:name="_GoBack"/>
      <w:bookmarkEnd w:id="162"/>
    </w:p>
    <w:p>
      <w:pPr>
        <w:pStyle w:val="14"/>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linePitch="360" w:charSpace="0"/>
        </w:sectPr>
      </w:pPr>
    </w:p>
    <w:p>
      <w:pPr>
        <w:pStyle w:val="4"/>
      </w:pPr>
      <w:bookmarkStart w:id="11" w:name="_Toc92121749"/>
      <w:bookmarkStart w:id="12" w:name="_Toc452108761"/>
      <w:r>
        <w:rPr>
          <w:rFonts w:hint="eastAsia"/>
        </w:rPr>
        <w:t>三</w:t>
      </w:r>
      <w:r>
        <w:t>维视图</w:t>
      </w:r>
      <w:bookmarkEnd w:id="11"/>
      <w:bookmarkEnd w:id="12"/>
    </w:p>
    <w:p>
      <w:pPr>
        <w:pStyle w:val="3"/>
        <w:ind w:firstLine="0"/>
        <w:jc w:val="center"/>
        <w:rPr>
          <w:lang w:val="en-US"/>
        </w:rPr>
      </w:pPr>
      <w:r>
        <w:rPr>
          <w:rFonts w:hint="eastAsia"/>
          <w:lang w:val="en-US"/>
        </w:rPr>
        <w:t xml:space="preserve"> </w:t>
      </w:r>
      <w:bookmarkStart w:id="13" w:name="三维视图"/>
      <w:bookmarkEnd w:id="13"/>
      <w:r>
        <w:drawing>
          <wp:inline distT="0" distB="0" distL="0" distR="0">
            <wp:extent cx="5667375" cy="3819525"/>
            <wp:effectExtent l="0" t="0" r="0" b="0"/>
            <wp:docPr id="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4"/>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rPr>
          <w:lang w:val="en-US"/>
        </w:rPr>
        <w:sectPr>
          <w:pgSz w:w="11906" w:h="16838"/>
          <w:pgMar w:top="992" w:right="709" w:bottom="822" w:left="1134" w:header="284" w:footer="170" w:gutter="0"/>
          <w:cols w:space="720" w:num="1"/>
          <w:docGrid w:linePitch="360" w:charSpace="0"/>
        </w:sectPr>
      </w:pPr>
    </w:p>
    <w:p>
      <w:pPr>
        <w:pStyle w:val="2"/>
      </w:pPr>
      <w:bookmarkStart w:id="14" w:name="_Toc92121750"/>
      <w:bookmarkStart w:id="15" w:name="_Toc452108762"/>
      <w:bookmarkStart w:id="16" w:name="TitleFormat"/>
      <w:r>
        <w:rPr>
          <w:rFonts w:hint="eastAsia"/>
        </w:rPr>
        <w:t>计算</w:t>
      </w:r>
      <w:r>
        <w:t>依据</w:t>
      </w:r>
      <w:bookmarkEnd w:id="14"/>
      <w:bookmarkEnd w:id="15"/>
      <w:bookmarkEnd w:id="16"/>
    </w:p>
    <w:p>
      <w:pPr>
        <w:pStyle w:val="3"/>
        <w:ind w:firstLine="420"/>
        <w:rPr>
          <w:lang w:val="en-US"/>
        </w:rPr>
      </w:pPr>
      <w:r>
        <w:rPr>
          <w:rFonts w:hint="eastAsia"/>
          <w:lang w:val="en-US"/>
        </w:rPr>
        <w:t>本项目主要参照资料为：</w:t>
      </w:r>
    </w:p>
    <w:p>
      <w:pPr>
        <w:pStyle w:val="3"/>
        <w:numPr>
          <w:ilvl w:val="0"/>
          <w:numId w:val="2"/>
        </w:numPr>
        <w:rPr>
          <w:lang w:val="en-US"/>
        </w:rPr>
      </w:pPr>
      <w:r>
        <w:rPr>
          <w:rFonts w:hint="eastAsia"/>
          <w:lang w:val="en-US"/>
        </w:rPr>
        <w:t>《绿色建筑评价标准》GB/T 50378—</w:t>
      </w:r>
      <w:r>
        <w:rPr>
          <w:lang w:val="en-US"/>
        </w:rPr>
        <w:t>2019</w:t>
      </w:r>
    </w:p>
    <w:p>
      <w:pPr>
        <w:pStyle w:val="3"/>
        <w:numPr>
          <w:ilvl w:val="0"/>
          <w:numId w:val="2"/>
        </w:numPr>
        <w:rPr>
          <w:lang w:val="en-US"/>
        </w:rPr>
      </w:pPr>
      <w:r>
        <w:rPr>
          <w:rFonts w:hint="eastAsia"/>
          <w:lang w:val="en-US"/>
        </w:rPr>
        <w:t>《建筑通风效果测试与评价标准》JGJ/T 309—2013</w:t>
      </w:r>
    </w:p>
    <w:p>
      <w:pPr>
        <w:pStyle w:val="3"/>
        <w:numPr>
          <w:ilvl w:val="0"/>
          <w:numId w:val="2"/>
        </w:numPr>
        <w:rPr>
          <w:lang w:val="en-US"/>
        </w:rPr>
      </w:pPr>
      <w:r>
        <w:rPr>
          <w:rFonts w:hint="eastAsia"/>
          <w:lang w:val="en-US"/>
        </w:rPr>
        <w:t>《绿色建筑评价技术细则》</w:t>
      </w:r>
    </w:p>
    <w:p>
      <w:pPr>
        <w:pStyle w:val="3"/>
        <w:numPr>
          <w:ilvl w:val="0"/>
          <w:numId w:val="2"/>
        </w:numPr>
        <w:rPr>
          <w:lang w:val="en-US"/>
        </w:rPr>
      </w:pPr>
      <w:r>
        <w:rPr>
          <w:rFonts w:hint="eastAsia"/>
          <w:lang w:val="en-US"/>
        </w:rPr>
        <w:t>委托方提供的总平面图、建筑专业设计图纸、设计效果图等图纸资料</w:t>
      </w:r>
    </w:p>
    <w:p>
      <w:pPr>
        <w:pStyle w:val="2"/>
      </w:pPr>
      <w:bookmarkStart w:id="17" w:name="_Toc92121751"/>
      <w:bookmarkStart w:id="18" w:name="_Toc452108763"/>
      <w:r>
        <w:rPr>
          <w:rFonts w:hint="eastAsia"/>
        </w:rPr>
        <w:t>参考</w:t>
      </w:r>
      <w:r>
        <w:t>标准</w:t>
      </w:r>
      <w:bookmarkEnd w:id="17"/>
      <w:bookmarkEnd w:id="18"/>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19" w:name="_Toc452108764"/>
      <w:bookmarkStart w:id="20" w:name="_Toc451698935"/>
      <w:bookmarkStart w:id="21"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2" w:name="_Toc92121752"/>
      <w:r>
        <w:rPr>
          <w:rFonts w:hint="eastAsia"/>
        </w:rPr>
        <w:t>计算原理</w:t>
      </w:r>
      <w:bookmarkEnd w:id="19"/>
      <w:bookmarkEnd w:id="20"/>
      <w:bookmarkEnd w:id="22"/>
    </w:p>
    <w:p>
      <w:pPr>
        <w:pStyle w:val="4"/>
        <w:numPr>
          <w:ilvl w:val="1"/>
          <w:numId w:val="3"/>
        </w:numPr>
      </w:pPr>
      <w:bookmarkStart w:id="23" w:name="_Toc509844740"/>
      <w:bookmarkStart w:id="24" w:name="_Toc92121753"/>
      <w:bookmarkStart w:id="25" w:name="_Toc451698937"/>
      <w:bookmarkStart w:id="26" w:name="_Toc452108765"/>
      <w:r>
        <w:rPr>
          <w:rFonts w:hint="eastAsia"/>
        </w:rPr>
        <w:t>风场计算域</w:t>
      </w:r>
      <w:bookmarkEnd w:id="23"/>
      <w:bookmarkEnd w:id="24"/>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27" w:name="_Toc92121754"/>
      <w:r>
        <w:rPr>
          <w:rFonts w:hint="eastAsia"/>
        </w:rPr>
        <w:t>冬季工况风场计算域</w:t>
      </w:r>
      <w:bookmarkEnd w:id="27"/>
    </w:p>
    <w:p>
      <w:pPr>
        <w:pStyle w:val="3"/>
        <w:ind w:firstLine="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F2F2F2" w:fill="F1F1F1" w:themeFill="background1" w:themeFillShade="F2"/>
            <w:noWrap w:val="0"/>
          </w:tcPr>
          <w:p>
            <w:pPr>
              <w:pStyle w:val="3"/>
              <w:ind w:firstLine="0"/>
              <w:rPr>
                <w:lang w:val="en-US"/>
              </w:rPr>
            </w:pPr>
            <w:r>
              <w:rPr>
                <w:rFonts w:hint="eastAsia"/>
                <w:lang w:val="en-US"/>
              </w:rPr>
              <w:t>顺风</w:t>
            </w:r>
            <w:r>
              <w:rPr>
                <w:lang w:val="en-US"/>
              </w:rPr>
              <w:t>方向</w:t>
            </w:r>
            <w:r>
              <w:rPr>
                <w:rFonts w:hint="eastAsia"/>
                <w:lang w:val="en-US"/>
              </w:rPr>
              <w:t>尺寸（m）</w:t>
            </w:r>
          </w:p>
        </w:tc>
        <w:tc>
          <w:tcPr>
            <w:tcW w:w="1846" w:type="dxa"/>
            <w:shd w:val="clear" w:color="auto" w:fill="auto"/>
            <w:noWrap w:val="0"/>
          </w:tcPr>
          <w:p>
            <w:pPr>
              <w:pStyle w:val="3"/>
              <w:ind w:firstLine="0"/>
              <w:rPr>
                <w:lang w:val="en-US"/>
              </w:rPr>
            </w:pPr>
            <w: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F2F2F2" w:fill="F1F1F1" w:themeFill="background1" w:themeFillShade="F2"/>
            <w:noWrap w:val="0"/>
          </w:tcPr>
          <w:p>
            <w:pPr>
              <w:pStyle w:val="3"/>
              <w:ind w:firstLine="0"/>
              <w:rPr>
                <w:lang w:val="en-US"/>
              </w:rPr>
            </w:pPr>
            <w:r>
              <w:rPr>
                <w:rFonts w:hint="eastAsia"/>
                <w:lang w:val="en-US"/>
              </w:rPr>
              <w:t>宽度</w:t>
            </w:r>
            <w:r>
              <w:rPr>
                <w:lang w:val="en-US"/>
              </w:rPr>
              <w:t>方向</w:t>
            </w:r>
            <w:r>
              <w:rPr>
                <w:rFonts w:hint="eastAsia"/>
                <w:lang w:val="en-US"/>
              </w:rPr>
              <w:t>尺寸（m）</w:t>
            </w:r>
          </w:p>
        </w:tc>
        <w:tc>
          <w:tcPr>
            <w:tcW w:w="1846" w:type="dxa"/>
            <w:shd w:val="clear" w:color="auto" w:fill="auto"/>
            <w:noWrap w:val="0"/>
          </w:tcPr>
          <w:p>
            <w:pPr>
              <w:pStyle w:val="3"/>
              <w:ind w:firstLine="0"/>
              <w:rPr>
                <w:lang w:val="en-US"/>
              </w:rPr>
            </w:pPr>
            <w: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F2F2F2" w:fill="F1F1F1" w:themeFill="background1" w:themeFillShade="F2"/>
            <w:noWrap w:val="0"/>
          </w:tcPr>
          <w:p>
            <w:pPr>
              <w:pStyle w:val="3"/>
              <w:ind w:firstLine="0"/>
              <w:rPr>
                <w:lang w:val="en-US"/>
              </w:rPr>
            </w:pPr>
            <w:r>
              <w:rPr>
                <w:rFonts w:hint="eastAsia"/>
                <w:lang w:val="en-US"/>
              </w:rPr>
              <w:t>高度</w:t>
            </w:r>
            <w:r>
              <w:rPr>
                <w:lang w:val="en-US"/>
              </w:rPr>
              <w:t>方向</w:t>
            </w:r>
            <w:r>
              <w:rPr>
                <w:rFonts w:hint="eastAsia"/>
                <w:lang w:val="en-US"/>
              </w:rPr>
              <w:t>尺寸（m）</w:t>
            </w:r>
          </w:p>
        </w:tc>
        <w:tc>
          <w:tcPr>
            <w:tcW w:w="1846" w:type="dxa"/>
            <w:shd w:val="clear" w:color="auto" w:fill="auto"/>
            <w:noWrap w:val="0"/>
          </w:tcPr>
          <w:p>
            <w:pPr>
              <w:pStyle w:val="3"/>
              <w:ind w:firstLine="0"/>
              <w:rPr>
                <w:lang w:val="en-US"/>
              </w:rPr>
            </w:pPr>
            <w:r>
              <w:t>124</w:t>
            </w:r>
          </w:p>
        </w:tc>
      </w:tr>
    </w:tbl>
    <w:p>
      <w:pPr>
        <w:pStyle w:val="3"/>
        <w:ind w:firstLine="0"/>
        <w:jc w:val="center"/>
        <w:rPr>
          <w:lang w:val="en-US"/>
        </w:rPr>
      </w:pPr>
      <w:r>
        <w:drawing>
          <wp:inline distT="0" distB="0" distL="0" distR="0">
            <wp:extent cx="5667375" cy="3619500"/>
            <wp:effectExtent l="0" t="0" r="0" b="0"/>
            <wp:docPr id="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4"/>
        <w:jc w:val="center"/>
        <w:rPr>
          <w:sz w:val="21"/>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 w:val="21"/>
          <w:szCs w:val="21"/>
          <w:lang w:val="en-US"/>
        </w:rPr>
        <w:t xml:space="preserve"> </w:t>
      </w:r>
    </w:p>
    <w:p>
      <w:pPr>
        <w:pStyle w:val="5"/>
        <w:numPr>
          <w:ilvl w:val="2"/>
          <w:numId w:val="3"/>
        </w:numPr>
      </w:pPr>
      <w:bookmarkStart w:id="28" w:name="_Toc92121755"/>
      <w:r>
        <w:rPr>
          <w:rFonts w:hint="eastAsia"/>
        </w:rPr>
        <w:t>夏季工况风场计算域</w:t>
      </w:r>
      <w:bookmarkEnd w:id="28"/>
    </w:p>
    <w:p>
      <w:pPr>
        <w:pStyle w:val="3"/>
        <w:ind w:firstLine="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F2F2F2" w:fill="F1F1F1" w:themeFill="background1" w:themeFillShade="F2"/>
            <w:noWrap w:val="0"/>
          </w:tcPr>
          <w:p>
            <w:pPr>
              <w:pStyle w:val="3"/>
              <w:ind w:firstLine="0"/>
              <w:rPr>
                <w:lang w:val="en-US"/>
              </w:rPr>
            </w:pPr>
            <w:r>
              <w:rPr>
                <w:rFonts w:hint="eastAsia"/>
                <w:lang w:val="en-US"/>
              </w:rPr>
              <w:t>顺风</w:t>
            </w:r>
            <w:r>
              <w:rPr>
                <w:lang w:val="en-US"/>
              </w:rPr>
              <w:t>方向</w:t>
            </w:r>
            <w:r>
              <w:rPr>
                <w:rFonts w:hint="eastAsia"/>
                <w:lang w:val="en-US"/>
              </w:rPr>
              <w:t>尺寸（m）</w:t>
            </w:r>
          </w:p>
        </w:tc>
        <w:tc>
          <w:tcPr>
            <w:tcW w:w="1846" w:type="dxa"/>
            <w:shd w:val="clear" w:color="auto" w:fill="auto"/>
            <w:noWrap w:val="0"/>
          </w:tcPr>
          <w:p>
            <w:pPr>
              <w:pStyle w:val="3"/>
              <w:ind w:firstLine="0"/>
              <w:rPr>
                <w:lang w:val="en-US"/>
              </w:rPr>
            </w:pPr>
            <w:bookmarkStart w:id="29" w:name="冬季风场X尺寸"/>
            <w:r>
              <w:t>390</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F2F2F2" w:fill="F1F1F1" w:themeFill="background1" w:themeFillShade="F2"/>
            <w:noWrap w:val="0"/>
          </w:tcPr>
          <w:p>
            <w:pPr>
              <w:pStyle w:val="3"/>
              <w:ind w:firstLine="0"/>
              <w:rPr>
                <w:lang w:val="en-US"/>
              </w:rPr>
            </w:pPr>
            <w:r>
              <w:rPr>
                <w:rFonts w:hint="eastAsia"/>
                <w:lang w:val="en-US"/>
              </w:rPr>
              <w:t>宽度</w:t>
            </w:r>
            <w:r>
              <w:rPr>
                <w:lang w:val="en-US"/>
              </w:rPr>
              <w:t>方向</w:t>
            </w:r>
            <w:r>
              <w:rPr>
                <w:rFonts w:hint="eastAsia"/>
                <w:lang w:val="en-US"/>
              </w:rPr>
              <w:t>尺寸（m）</w:t>
            </w:r>
          </w:p>
        </w:tc>
        <w:tc>
          <w:tcPr>
            <w:tcW w:w="1846" w:type="dxa"/>
            <w:shd w:val="clear" w:color="auto" w:fill="auto"/>
            <w:noWrap w:val="0"/>
          </w:tcPr>
          <w:p>
            <w:pPr>
              <w:pStyle w:val="3"/>
              <w:ind w:firstLine="0"/>
              <w:rPr>
                <w:lang w:val="en-US"/>
              </w:rPr>
            </w:pPr>
            <w:bookmarkStart w:id="30" w:name="冬季风场Y尺寸"/>
            <w:r>
              <w:t>537</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F2F2F2" w:fill="F1F1F1" w:themeFill="background1" w:themeFillShade="F2"/>
            <w:noWrap w:val="0"/>
          </w:tcPr>
          <w:p>
            <w:pPr>
              <w:pStyle w:val="3"/>
              <w:ind w:firstLine="0"/>
              <w:rPr>
                <w:lang w:val="en-US"/>
              </w:rPr>
            </w:pPr>
            <w:r>
              <w:rPr>
                <w:rFonts w:hint="eastAsia"/>
                <w:lang w:val="en-US"/>
              </w:rPr>
              <w:t>高度</w:t>
            </w:r>
            <w:r>
              <w:rPr>
                <w:lang w:val="en-US"/>
              </w:rPr>
              <w:t>方向</w:t>
            </w:r>
            <w:r>
              <w:rPr>
                <w:rFonts w:hint="eastAsia"/>
                <w:lang w:val="en-US"/>
              </w:rPr>
              <w:t>尺寸（m）</w:t>
            </w:r>
          </w:p>
        </w:tc>
        <w:tc>
          <w:tcPr>
            <w:tcW w:w="1846" w:type="dxa"/>
            <w:shd w:val="clear" w:color="auto" w:fill="auto"/>
            <w:noWrap w:val="0"/>
          </w:tcPr>
          <w:p>
            <w:pPr>
              <w:pStyle w:val="3"/>
              <w:ind w:firstLine="0"/>
              <w:rPr>
                <w:lang w:val="en-US"/>
              </w:rPr>
            </w:pPr>
            <w:bookmarkStart w:id="31" w:name="冬季风场Z尺寸"/>
            <w:r>
              <w:t>124</w:t>
            </w:r>
            <w:bookmarkEnd w:id="31"/>
          </w:p>
        </w:tc>
      </w:tr>
    </w:tbl>
    <w:p>
      <w:pPr>
        <w:pStyle w:val="3"/>
        <w:ind w:firstLine="0"/>
        <w:jc w:val="center"/>
        <w:rPr>
          <w:lang w:val="en-US"/>
        </w:rPr>
      </w:pPr>
      <w:bookmarkStart w:id="32" w:name="冬季工况风场计算域图示"/>
      <w:bookmarkEnd w:id="32"/>
      <w:r>
        <w:drawing>
          <wp:inline distT="0" distB="0" distL="0" distR="0">
            <wp:extent cx="5667375" cy="3619500"/>
            <wp:effectExtent l="0" t="0" r="0" b="0"/>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4"/>
        <w:jc w:val="center"/>
        <w:rPr>
          <w:sz w:val="21"/>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 w:val="21"/>
          <w:szCs w:val="21"/>
          <w:lang w:val="en-US"/>
        </w:rPr>
        <w:t xml:space="preserve"> </w:t>
      </w:r>
    </w:p>
    <w:p>
      <w:pPr>
        <w:pStyle w:val="3"/>
        <w:ind w:firstLine="315"/>
        <w:rPr>
          <w:lang w:val="en-US"/>
        </w:rPr>
      </w:pPr>
      <w:bookmarkStart w:id="33" w:name="计算域"/>
      <w:bookmarkEnd w:id="33"/>
    </w:p>
    <w:p>
      <w:pPr>
        <w:pStyle w:val="3"/>
        <w:ind w:firstLine="420"/>
        <w:rPr>
          <w:rFonts w:ascii="黑体" w:hAnsi="黑体" w:eastAsia="黑体"/>
          <w:sz w:val="20"/>
          <w:szCs w:val="20"/>
          <w:lang w:val="en-US"/>
        </w:rPr>
      </w:pPr>
      <w:r>
        <w:rPr>
          <w:rFonts w:hint="eastAsia" w:ascii="黑体" w:hAnsi="黑体" w:eastAsia="黑体"/>
          <w:sz w:val="20"/>
          <w:szCs w:val="20"/>
          <w:lang w:val="en-US"/>
        </w:rPr>
        <w:t>注：不同季节因风向不同，为了最大限度反映项目周围区域风场特征，根据不同风向划定不同的计算域。</w:t>
      </w:r>
    </w:p>
    <w:p>
      <w:pPr>
        <w:pStyle w:val="4"/>
      </w:pPr>
      <w:bookmarkStart w:id="34" w:name="_Toc92121756"/>
      <w:bookmarkStart w:id="35" w:name="_Toc509844741"/>
      <w:r>
        <w:rPr>
          <w:rFonts w:hint="eastAsia"/>
        </w:rPr>
        <w:t>网格划分</w:t>
      </w:r>
      <w:bookmarkEnd w:id="34"/>
      <w:bookmarkEnd w:id="35"/>
    </w:p>
    <w:p>
      <w:pPr>
        <w:pStyle w:val="3"/>
        <w:ind w:left="-141"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3"/>
        <w:spacing w:before="156"/>
        <w:ind w:left="426" w:firstLine="0"/>
      </w:pPr>
      <w:bookmarkStart w:id="36" w:name="OLE_LINK277"/>
      <w:bookmarkStart w:id="37" w:name="OLE_LINK276"/>
      <w:r>
        <w:rPr>
          <w:rFonts w:hint="eastAsia"/>
        </w:rPr>
        <w:t>1）普通网格：指除靠近地面和建筑以外的网格，通常不需要特别加密处理</w:t>
      </w:r>
    </w:p>
    <w:p>
      <w:pPr>
        <w:pStyle w:val="13"/>
        <w:numPr>
          <w:ilvl w:val="0"/>
          <w:numId w:val="4"/>
        </w:numPr>
        <w:spacing w:before="156"/>
      </w:pPr>
      <w:bookmarkStart w:id="38" w:name="OLE_LINK15"/>
      <w:r>
        <w:rPr>
          <w:rFonts w:hint="eastAsia"/>
        </w:rPr>
        <w:t>分弧精度：对于有圆弧特征的建筑局部，把圆弧分解为线段时，弦到弧的最大距离；</w:t>
      </w:r>
      <w:bookmarkEnd w:id="38"/>
    </w:p>
    <w:p>
      <w:pPr>
        <w:pStyle w:val="190"/>
        <w:numPr>
          <w:ilvl w:val="0"/>
          <w:numId w:val="4"/>
        </w:numPr>
        <w:spacing w:before="156"/>
      </w:pPr>
      <w:r>
        <w:rPr>
          <w:rFonts w:hint="eastAsia"/>
        </w:rPr>
        <w:t>初始网格大小：初始化时候正交网格的大小，单位米(m)；</w:t>
      </w:r>
    </w:p>
    <w:p>
      <w:pPr>
        <w:pStyle w:val="190"/>
        <w:numPr>
          <w:ilvl w:val="0"/>
          <w:numId w:val="4"/>
        </w:numPr>
        <w:spacing w:before="156"/>
      </w:pPr>
      <w:r>
        <w:rPr>
          <w:rFonts w:hint="eastAsia"/>
        </w:rPr>
        <w:t>最小细分级数：初始网格至少细分的级数；</w:t>
      </w:r>
    </w:p>
    <w:p>
      <w:pPr>
        <w:pStyle w:val="190"/>
        <w:numPr>
          <w:ilvl w:val="0"/>
          <w:numId w:val="4"/>
        </w:numPr>
        <w:tabs>
          <w:tab w:val="left" w:pos="851"/>
        </w:tabs>
        <w:spacing w:before="156"/>
      </w:pPr>
      <w:r>
        <w:rPr>
          <w:rFonts w:hint="eastAsia"/>
        </w:rPr>
        <w:t>最大细分级数：初始网格最多细分的级数；</w:t>
      </w:r>
    </w:p>
    <w:p>
      <w:pPr>
        <w:pStyle w:val="13"/>
        <w:spacing w:before="156"/>
        <w:ind w:left="0" w:firstLine="315"/>
      </w:pPr>
      <w:r>
        <w:rPr>
          <w:rFonts w:hint="eastAsia"/>
        </w:rPr>
        <w:t>2）地面网格</w:t>
      </w:r>
    </w:p>
    <w:p>
      <w:pPr>
        <w:pStyle w:val="13"/>
        <w:spacing w:before="156"/>
        <w:ind w:firstLine="315"/>
      </w:pPr>
      <w:r>
        <w:rPr>
          <w:rFonts w:hint="eastAsia"/>
        </w:rPr>
        <w:t>靠近建筑物的区域称为近场，远离建筑物的区域称为远场。</w:t>
      </w:r>
    </w:p>
    <w:p>
      <w:pPr>
        <w:pStyle w:val="13"/>
        <w:spacing w:before="156"/>
        <w:ind w:firstLine="315"/>
      </w:pPr>
      <w:r>
        <w:rPr>
          <w:rFonts w:hint="eastAsia"/>
        </w:rPr>
        <w:t>近场的地面网格需要加密，对应地面细分级数较大；而远场地面对应网格较疏，地面细分级数较小。</w:t>
      </w:r>
    </w:p>
    <w:p>
      <w:pPr>
        <w:pStyle w:val="13"/>
        <w:spacing w:before="156"/>
        <w:ind w:hanging="105"/>
      </w:pPr>
      <w:r>
        <w:rPr>
          <w:rFonts w:hint="eastAsia"/>
        </w:rPr>
        <w:t>3）</w:t>
      </w:r>
      <w:r>
        <w:rPr>
          <w:rFonts w:hint="eastAsia"/>
          <w:b/>
        </w:rPr>
        <w:t>附面层</w:t>
      </w:r>
      <w:r>
        <w:rPr>
          <w:rFonts w:hint="eastAsia"/>
        </w:rPr>
        <w:t>网格</w:t>
      </w:r>
    </w:p>
    <w:p>
      <w:pPr>
        <w:pStyle w:val="3"/>
        <w:ind w:left="-141"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190"/>
        <w:numPr>
          <w:ilvl w:val="0"/>
          <w:numId w:val="5"/>
        </w:numPr>
        <w:tabs>
          <w:tab w:val="left" w:pos="567"/>
        </w:tabs>
        <w:spacing w:before="156"/>
        <w:ind w:hanging="840"/>
      </w:pPr>
      <w:r>
        <w:rPr>
          <w:rFonts w:hint="eastAsia"/>
        </w:rPr>
        <w:t xml:space="preserve">   地面附面层数：地面附面层网格的层数；</w:t>
      </w:r>
    </w:p>
    <w:p>
      <w:pPr>
        <w:pStyle w:val="190"/>
        <w:numPr>
          <w:ilvl w:val="0"/>
          <w:numId w:val="5"/>
        </w:numPr>
        <w:tabs>
          <w:tab w:val="left" w:pos="567"/>
        </w:tabs>
        <w:spacing w:before="156"/>
        <w:ind w:hanging="840"/>
      </w:pPr>
      <w:r>
        <w:rPr>
          <w:rFonts w:hint="eastAsia"/>
        </w:rPr>
        <w:t xml:space="preserve">   建筑附面层数：建筑表面附面层网格的层数；</w:t>
      </w:r>
      <w:bookmarkEnd w:id="36"/>
      <w:bookmarkEnd w:id="37"/>
    </w:p>
    <w:p>
      <w:pPr>
        <w:pStyle w:val="13"/>
        <w:spacing w:before="156"/>
        <w:ind w:firstLine="210"/>
      </w:pPr>
      <w:r>
        <w:rPr>
          <w:rFonts w:hint="eastAsia"/>
        </w:rPr>
        <w:t>以下为本项目的网格划分信息，上述网格方案对网格的控制分别体现在相应的网格参数中：</w:t>
      </w:r>
    </w:p>
    <w:p>
      <w:pPr>
        <w:pStyle w:val="14"/>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3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r>
              <w:rPr>
                <w:rFonts w:hint="eastAsia"/>
                <w:sz w:val="21"/>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noWrap w:val="0"/>
            <w:vAlign w:val="center"/>
          </w:tcPr>
          <w:p>
            <w:pPr>
              <w:spacing w:line="240" w:lineRule="auto"/>
              <w:jc w:val="center"/>
              <w:rPr>
                <w:sz w:val="21"/>
                <w:szCs w:val="21"/>
                <w:lang w:val="en-US"/>
              </w:rPr>
            </w:pPr>
            <w:r>
              <w:t>480709</w:t>
            </w:r>
          </w:p>
        </w:tc>
        <w:tc>
          <w:tcPr>
            <w:tcW w:w="1701" w:type="dxa"/>
            <w:vMerge w:val="restart"/>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普通网格</w:t>
            </w: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分弧精度(m</w:t>
            </w:r>
            <w:r>
              <w:rPr>
                <w:sz w:val="21"/>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初始网格(m</w:t>
            </w:r>
            <w:r>
              <w:rPr>
                <w:sz w:val="21"/>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地面网格</w:t>
            </w: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附面层</w:t>
            </w: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noWrap w:val="0"/>
            <w:vAlign w:val="center"/>
          </w:tcPr>
          <w:p>
            <w:pPr>
              <w:spacing w:line="240" w:lineRule="auto"/>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r>
              <w:t>0</w:t>
            </w:r>
          </w:p>
        </w:tc>
      </w:tr>
    </w:tbl>
    <w:p>
      <w:pPr>
        <w:rPr>
          <w:sz w:val="21"/>
          <w:szCs w:val="21"/>
          <w:lang w:val="en-US"/>
        </w:rPr>
      </w:pPr>
    </w:p>
    <w:p>
      <w:pPr>
        <w:pStyle w:val="14"/>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3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r>
              <w:rPr>
                <w:rFonts w:hint="eastAsia"/>
                <w:sz w:val="21"/>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noWrap w:val="0"/>
            <w:vAlign w:val="center"/>
          </w:tcPr>
          <w:p>
            <w:pPr>
              <w:spacing w:line="240" w:lineRule="auto"/>
              <w:jc w:val="center"/>
              <w:rPr>
                <w:sz w:val="21"/>
                <w:szCs w:val="21"/>
                <w:lang w:val="en-US"/>
              </w:rPr>
            </w:pPr>
            <w:bookmarkStart w:id="39" w:name="冬季网格总数"/>
            <w:r>
              <w:t>519743</w:t>
            </w:r>
            <w:bookmarkEnd w:id="39"/>
          </w:p>
        </w:tc>
        <w:tc>
          <w:tcPr>
            <w:tcW w:w="1701" w:type="dxa"/>
            <w:vMerge w:val="restart"/>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普通网格</w:t>
            </w: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分弧精度(m</w:t>
            </w:r>
            <w:r>
              <w:rPr>
                <w:sz w:val="21"/>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0" w:name="冬季分弧精度"/>
            <w:r>
              <w:t>0.24</w:t>
            </w:r>
            <w:bookmarkEnd w:id="4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初始网格(m</w:t>
            </w:r>
            <w:r>
              <w:rPr>
                <w:sz w:val="21"/>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1" w:name="冬季初始网格"/>
            <w:r>
              <w:t>8.0</w:t>
            </w:r>
            <w:bookmarkEnd w:id="41"/>
          </w:p>
        </w:tc>
      </w:tr>
      <w:tr>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2" w:name="冬季最小细分级数"/>
            <w:r>
              <w:t>1</w:t>
            </w:r>
            <w:bookmarkEnd w:id="42"/>
          </w:p>
        </w:tc>
      </w:tr>
      <w:tr>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3" w:name="冬季最大细分级数"/>
            <w:r>
              <w:t>2</w:t>
            </w:r>
            <w:bookmarkEnd w:id="4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地面网格</w:t>
            </w: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4" w:name="冬季远场细分级数"/>
            <w:r>
              <w:t>1</w:t>
            </w:r>
            <w:bookmarkEnd w:id="4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5" w:name="冬季近场细分级数"/>
            <w:r>
              <w:t>2</w:t>
            </w:r>
            <w:bookmarkEnd w:id="4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noWrap w:val="0"/>
            <w:vAlign w:val="center"/>
          </w:tcPr>
          <w:p>
            <w:pPr>
              <w:spacing w:line="240" w:lineRule="auto"/>
              <w:jc w:val="center"/>
              <w:rPr>
                <w:sz w:val="21"/>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附面层</w:t>
            </w: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6" w:name="冬季地面附面层数"/>
            <w:r>
              <w:t>2</w:t>
            </w:r>
            <w:bookmarkEnd w:id="46"/>
          </w:p>
        </w:tc>
      </w:tr>
      <w:tr>
        <w:trPr>
          <w:trHeight w:val="270" w:hRule="atLeast"/>
        </w:trPr>
        <w:tc>
          <w:tcPr>
            <w:tcW w:w="1863" w:type="dxa"/>
            <w:vMerge w:val="continue"/>
            <w:tcBorders>
              <w:left w:val="single" w:color="auto" w:sz="4" w:space="0"/>
              <w:bottom w:val="single" w:color="auto" w:sz="4" w:space="0"/>
              <w:right w:val="single" w:color="auto" w:sz="4" w:space="0"/>
            </w:tcBorders>
            <w:noWrap w:val="0"/>
            <w:vAlign w:val="center"/>
          </w:tcPr>
          <w:p>
            <w:pPr>
              <w:spacing w:line="240" w:lineRule="auto"/>
              <w:rPr>
                <w:sz w:val="21"/>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F2F2F2" w:fill="F1F1F1" w:themeFill="background1" w:themeFillShade="F2"/>
            <w:noWrap w:val="0"/>
            <w:vAlign w:val="center"/>
          </w:tcPr>
          <w:p>
            <w:pPr>
              <w:spacing w:line="240" w:lineRule="auto"/>
              <w:jc w:val="center"/>
              <w:rPr>
                <w:sz w:val="21"/>
                <w:szCs w:val="21"/>
                <w:lang w:val="en-US"/>
              </w:rPr>
            </w:pPr>
          </w:p>
        </w:tc>
        <w:tc>
          <w:tcPr>
            <w:tcW w:w="2977" w:type="dxa"/>
            <w:tcBorders>
              <w:top w:val="single" w:color="auto" w:sz="4" w:space="0"/>
              <w:left w:val="nil"/>
              <w:bottom w:val="single" w:color="auto" w:sz="4" w:space="0"/>
              <w:right w:val="single" w:color="auto" w:sz="4" w:space="0"/>
            </w:tcBorders>
            <w:shd w:val="clear" w:color="F2F2F2" w:fill="F1F1F1" w:themeFill="background1" w:themeFillShade="F2"/>
            <w:noWrap/>
            <w:vAlign w:val="center"/>
          </w:tcPr>
          <w:p>
            <w:pPr>
              <w:spacing w:line="240" w:lineRule="auto"/>
              <w:jc w:val="center"/>
              <w:rPr>
                <w:sz w:val="21"/>
                <w:szCs w:val="21"/>
                <w:lang w:val="en-US"/>
              </w:rPr>
            </w:pPr>
            <w:r>
              <w:rPr>
                <w:rFonts w:hint="eastAsia"/>
                <w:sz w:val="21"/>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 w:val="21"/>
                <w:szCs w:val="21"/>
                <w:lang w:val="en-US"/>
              </w:rPr>
            </w:pPr>
            <w:bookmarkStart w:id="47" w:name="冬季建筑附面层数"/>
            <w:r>
              <w:t>0</w:t>
            </w:r>
            <w:bookmarkEnd w:id="47"/>
          </w:p>
        </w:tc>
      </w:tr>
    </w:tbl>
    <w:p>
      <w:pPr>
        <w:rPr>
          <w:sz w:val="21"/>
          <w:szCs w:val="21"/>
          <w:lang w:val="en-US"/>
        </w:rPr>
      </w:pPr>
    </w:p>
    <w:p>
      <w:pPr>
        <w:pStyle w:val="3"/>
        <w:ind w:firstLine="630"/>
        <w:rPr>
          <w:rFonts w:ascii="黑体" w:hAnsi="黑体" w:eastAsia="黑体"/>
          <w:sz w:val="20"/>
          <w:szCs w:val="20"/>
        </w:rPr>
      </w:pPr>
      <w:bookmarkStart w:id="48" w:name="网格划分信息"/>
      <w:bookmarkEnd w:id="48"/>
      <w:r>
        <w:rPr>
          <w:rFonts w:hint="eastAsia" w:ascii="黑体" w:hAnsi="黑体" w:eastAsia="黑体"/>
          <w:sz w:val="20"/>
          <w:szCs w:val="20"/>
          <w:lang w:val="en-US"/>
        </w:rPr>
        <w:t>注：前述计算域随风向不同，所以相同的网格方案会产生不同的网格数量。</w:t>
      </w:r>
    </w:p>
    <w:p>
      <w:pPr>
        <w:pStyle w:val="4"/>
        <w:numPr>
          <w:ilvl w:val="1"/>
          <w:numId w:val="3"/>
        </w:numPr>
      </w:pPr>
      <w:bookmarkStart w:id="49" w:name="_Toc92121757"/>
      <w:bookmarkStart w:id="50" w:name="_Toc509844742"/>
      <w:r>
        <w:rPr>
          <w:rFonts w:hint="eastAsia"/>
        </w:rPr>
        <w:t>边界条件</w:t>
      </w:r>
      <w:bookmarkEnd w:id="49"/>
      <w:bookmarkEnd w:id="50"/>
    </w:p>
    <w:p>
      <w:r>
        <w:rPr>
          <w:lang w:val="en-US"/>
        </w:rPr>
        <w:drawing>
          <wp:inline distT="0" distB="0" distL="0" distR="0">
            <wp:extent cx="5486400" cy="3324225"/>
            <wp:effectExtent l="0" t="0" r="0" b="9525"/>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pic:cNvPicPr>
                  </pic:nvPicPr>
                  <pic:blipFill>
                    <a:blip r:embed="rId14"/>
                    <a:stretch>
                      <a:fillRect/>
                    </a:stretch>
                  </pic:blipFill>
                  <pic:spPr>
                    <a:xfrm>
                      <a:off x="0" y="0"/>
                      <a:ext cx="5486400" cy="3324225"/>
                    </a:xfrm>
                    <a:prstGeom prst="rect">
                      <a:avLst/>
                    </a:prstGeom>
                    <a:noFill/>
                    <a:ln>
                      <a:noFill/>
                    </a:ln>
                  </pic:spPr>
                </pic:pic>
              </a:graphicData>
            </a:graphic>
          </wp:inline>
        </w:drawing>
      </w:r>
    </w:p>
    <w:p>
      <w:pPr>
        <w:pStyle w:val="3"/>
        <w:ind w:firstLine="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pPr>
      <w:r>
        <w:rPr>
          <w:rFonts w:hint="eastAsia"/>
          <w:lang w:val="en-US"/>
        </w:rPr>
        <w:t>上图展示了计算域中风场边界的类型，本小节将给出不同边界的边界条件。</w:t>
      </w:r>
    </w:p>
    <w:p>
      <w:pPr>
        <w:pStyle w:val="5"/>
      </w:pPr>
      <w:bookmarkStart w:id="51" w:name="_Toc509844743"/>
      <w:bookmarkStart w:id="52" w:name="_Toc92121758"/>
      <w:r>
        <w:rPr>
          <w:rFonts w:hint="eastAsia"/>
        </w:rPr>
        <w:t>入口与出口边界条件</w:t>
      </w:r>
      <w:bookmarkEnd w:id="51"/>
      <w:bookmarkEnd w:id="52"/>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pt;width:71.3pt;" o:ole="t" filled="f"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rPr>
          <w:lang w:val="en-US"/>
        </w:rPr>
      </w:pPr>
      <w:r>
        <w:rPr>
          <w:rFonts w:hint="eastAsia"/>
          <w:lang w:val="en-US"/>
        </w:rPr>
        <w:t>式中：</w:t>
      </w:r>
    </w:p>
    <w:p>
      <w:pPr>
        <w:pStyle w:val="3"/>
        <w:ind w:firstLine="0"/>
        <w:rPr>
          <w:lang w:val="en-US"/>
        </w:rPr>
      </w:pPr>
      <w:r>
        <w:rPr>
          <w:i/>
          <w:sz w:val="24"/>
          <w:lang w:val="en-US"/>
        </w:rPr>
        <w:t>v, z</w:t>
      </w:r>
      <w:r>
        <w:rPr>
          <w:rFonts w:hint="eastAsia"/>
          <w:lang w:val="en-US"/>
        </w:rPr>
        <w:t>——任何一点的平均风速和高度；</w:t>
      </w:r>
    </w:p>
    <w:p>
      <w:pPr>
        <w:pStyle w:val="3"/>
        <w:ind w:firstLine="0"/>
        <w:rPr>
          <w:lang w:val="en-US"/>
        </w:rPr>
      </w:pPr>
      <w:r>
        <w:rPr>
          <w:lang w:val="en-US"/>
        </w:rPr>
        <w:object>
          <v:shape id="_x0000_i1026" o:spt="75" type="#_x0000_t75" style="height:18.8pt;width:15pt;" o:ole="t" filled="f" stroked="f" coordsize="21600,21600">
            <v:path/>
            <v:fill on="f" focussize="0,0"/>
            <v:stroke on="f"/>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3pt;" o:ole="t" filled="f" stroked="f" coordsize="21600,21600">
            <v:path/>
            <v:fill on="f" focussize="0,0"/>
            <v:stroke on="f"/>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ind w:firstLine="0"/>
        <w:rPr>
          <w:lang w:val="en-US"/>
        </w:rPr>
      </w:pPr>
      <w:r>
        <w:rPr>
          <w:i/>
          <w:lang w:val="en-US"/>
        </w:rPr>
        <w:t>a</w:t>
      </w:r>
      <w:r>
        <w:rPr>
          <w:rFonts w:hint="eastAsia"/>
          <w:lang w:val="en-US"/>
        </w:rPr>
        <w:t>——地面粗糙度指数，</w:t>
      </w:r>
      <w:r>
        <w:rPr>
          <w:lang w:val="en-US"/>
        </w:rPr>
        <w:t>本项目为</w:t>
      </w:r>
      <w:bookmarkStart w:id="53" w:name="地面粗糙度指数2"/>
      <w:r>
        <w:rPr>
          <w:rFonts w:hint="eastAsia"/>
          <w:lang w:val="en-US"/>
        </w:rPr>
        <w:t>0.28</w:t>
      </w:r>
      <w:bookmarkEnd w:id="53"/>
      <w:r>
        <w:rPr>
          <w:rFonts w:hint="eastAsia"/>
          <w:lang w:val="en-US"/>
        </w:rPr>
        <w:t>；</w:t>
      </w:r>
    </w:p>
    <w:p>
      <w:pPr>
        <w:pStyle w:val="3"/>
        <w:ind w:firstLine="22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3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noWrap w:val="0"/>
          </w:tcPr>
          <w:p>
            <w:pPr>
              <w:jc w:val="center"/>
              <w:rPr>
                <w:rFonts w:ascii="宋体" w:hAnsi="宋体" w:cs="宋体"/>
                <w:b/>
                <w:bCs/>
                <w:sz w:val="21"/>
                <w:szCs w:val="21"/>
              </w:rPr>
            </w:pPr>
            <w:r>
              <w:rPr>
                <w:rFonts w:hint="eastAsia" w:ascii="宋体" w:hAnsi="宋体" w:cs="宋体"/>
                <w:b/>
                <w:bCs/>
                <w:sz w:val="21"/>
                <w:szCs w:val="21"/>
              </w:rPr>
              <w:t>参考标准</w:t>
            </w:r>
          </w:p>
        </w:tc>
        <w:tc>
          <w:tcPr>
            <w:tcW w:w="4366"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bCs/>
                <w:sz w:val="21"/>
                <w:szCs w:val="21"/>
              </w:rPr>
            </w:pPr>
            <w:r>
              <w:rPr>
                <w:rFonts w:hint="eastAsia" w:ascii="宋体" w:hAnsi="宋体" w:cs="宋体"/>
                <w:b/>
                <w:bCs/>
                <w:sz w:val="21"/>
                <w:szCs w:val="21"/>
              </w:rPr>
              <w:t>地貌类别</w:t>
            </w:r>
          </w:p>
        </w:tc>
        <w:tc>
          <w:tcPr>
            <w:tcW w:w="1701" w:type="dxa"/>
            <w:tcBorders>
              <w:top w:val="single" w:color="auto" w:sz="4" w:space="0"/>
              <w:left w:val="nil"/>
              <w:bottom w:val="single" w:color="auto" w:sz="4" w:space="0"/>
              <w:right w:val="single" w:color="auto" w:sz="4" w:space="0"/>
            </w:tcBorders>
            <w:noWrap w:val="0"/>
          </w:tcPr>
          <w:p>
            <w:pPr>
              <w:jc w:val="center"/>
              <w:rPr>
                <w:rFonts w:ascii="宋体" w:hAnsi="宋体" w:cs="宋体"/>
                <w:b/>
                <w:bCs/>
                <w:sz w:val="21"/>
                <w:szCs w:val="21"/>
              </w:rPr>
            </w:pPr>
            <w:r>
              <w:rPr>
                <w:rFonts w:hint="eastAsia" w:ascii="宋体" w:hAnsi="宋体" w:cs="宋体"/>
                <w:b/>
                <w:bCs/>
                <w:sz w:val="21"/>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noWrap w:val="0"/>
            <w:vAlign w:val="center"/>
          </w:tcPr>
          <w:p>
            <w:pPr>
              <w:rPr>
                <w:rFonts w:ascii="宋体" w:hAnsi="宋体" w:cs="宋体"/>
                <w:b/>
                <w:sz w:val="21"/>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sz w:val="21"/>
                <w:szCs w:val="21"/>
              </w:rPr>
            </w:pPr>
            <w:r>
              <w:rPr>
                <w:rFonts w:hint="eastAsia" w:ascii="宋体" w:hAnsi="宋体" w:cs="宋体"/>
                <w:sz w:val="21"/>
                <w:szCs w:val="21"/>
              </w:rPr>
              <w:t>空旷平坦地面</w:t>
            </w:r>
          </w:p>
        </w:tc>
        <w:tc>
          <w:tcPr>
            <w:tcW w:w="1701" w:type="dxa"/>
            <w:tcBorders>
              <w:top w:val="single" w:color="auto" w:sz="4" w:space="0"/>
              <w:left w:val="nil"/>
              <w:bottom w:val="single" w:color="auto" w:sz="4" w:space="0"/>
              <w:right w:val="single" w:color="auto" w:sz="4" w:space="0"/>
            </w:tcBorders>
            <w:noWrap w:val="0"/>
          </w:tcPr>
          <w:p>
            <w:pPr>
              <w:jc w:val="center"/>
              <w:rPr>
                <w:rFonts w:ascii="宋体" w:hAnsi="宋体" w:cs="宋体"/>
                <w:sz w:val="21"/>
                <w:szCs w:val="21"/>
              </w:rPr>
            </w:pPr>
            <w:r>
              <w:rPr>
                <w:rFonts w:hint="eastAsia" w:ascii="宋体" w:hAnsi="宋体" w:cs="宋体"/>
                <w:sz w:val="21"/>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noWrap w:val="0"/>
          </w:tcPr>
          <w:p>
            <w:pPr>
              <w:jc w:val="center"/>
              <w:rPr>
                <w:rFonts w:ascii="宋体" w:hAnsi="宋体" w:cs="宋体"/>
                <w:b/>
                <w:sz w:val="21"/>
                <w:szCs w:val="21"/>
              </w:rPr>
            </w:pPr>
          </w:p>
        </w:tc>
        <w:tc>
          <w:tcPr>
            <w:tcW w:w="4366"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sz w:val="21"/>
                <w:szCs w:val="21"/>
              </w:rPr>
            </w:pPr>
            <w:r>
              <w:rPr>
                <w:rFonts w:hint="eastAsia" w:ascii="宋体" w:hAnsi="宋体" w:cs="宋体"/>
                <w:sz w:val="21"/>
                <w:szCs w:val="21"/>
              </w:rPr>
              <w:t>城市郊区</w:t>
            </w:r>
          </w:p>
        </w:tc>
        <w:tc>
          <w:tcPr>
            <w:tcW w:w="1701" w:type="dxa"/>
            <w:tcBorders>
              <w:top w:val="single" w:color="auto" w:sz="4" w:space="0"/>
              <w:left w:val="nil"/>
              <w:bottom w:val="single" w:color="auto" w:sz="4" w:space="0"/>
              <w:right w:val="single" w:color="auto" w:sz="4" w:space="0"/>
            </w:tcBorders>
            <w:noWrap w:val="0"/>
          </w:tcPr>
          <w:p>
            <w:pPr>
              <w:jc w:val="center"/>
              <w:rPr>
                <w:rFonts w:ascii="宋体" w:hAnsi="宋体" w:cs="宋体"/>
                <w:sz w:val="21"/>
                <w:szCs w:val="21"/>
              </w:rPr>
            </w:pPr>
            <w:r>
              <w:rPr>
                <w:rFonts w:hint="eastAsia" w:ascii="宋体" w:hAnsi="宋体" w:cs="宋体"/>
                <w:sz w:val="21"/>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noWrap w:val="0"/>
          </w:tcPr>
          <w:p>
            <w:pPr>
              <w:jc w:val="center"/>
              <w:rPr>
                <w:rFonts w:ascii="宋体" w:hAnsi="宋体" w:cs="宋体"/>
                <w:b/>
                <w:sz w:val="21"/>
                <w:szCs w:val="21"/>
              </w:rPr>
            </w:pPr>
          </w:p>
        </w:tc>
        <w:tc>
          <w:tcPr>
            <w:tcW w:w="4366"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sz w:val="21"/>
                <w:szCs w:val="21"/>
              </w:rPr>
            </w:pPr>
            <w:r>
              <w:rPr>
                <w:rFonts w:hint="eastAsia" w:ascii="宋体" w:hAnsi="宋体" w:cs="宋体"/>
                <w:sz w:val="21"/>
                <w:szCs w:val="21"/>
              </w:rPr>
              <w:t>大城市中心</w:t>
            </w:r>
          </w:p>
        </w:tc>
        <w:tc>
          <w:tcPr>
            <w:tcW w:w="1701" w:type="dxa"/>
            <w:tcBorders>
              <w:top w:val="single" w:color="auto" w:sz="4" w:space="0"/>
              <w:left w:val="nil"/>
              <w:bottom w:val="single" w:color="auto" w:sz="4" w:space="0"/>
              <w:right w:val="single" w:color="auto" w:sz="4" w:space="0"/>
            </w:tcBorders>
            <w:noWrap w:val="0"/>
          </w:tcPr>
          <w:p>
            <w:pPr>
              <w:jc w:val="center"/>
              <w:rPr>
                <w:rFonts w:ascii="宋体" w:hAnsi="宋体" w:cs="宋体"/>
                <w:sz w:val="21"/>
                <w:szCs w:val="21"/>
              </w:rPr>
            </w:pPr>
            <w:r>
              <w:rPr>
                <w:rFonts w:hint="eastAsia" w:ascii="宋体" w:hAnsi="宋体" w:cs="宋体"/>
                <w:sz w:val="21"/>
                <w:szCs w:val="21"/>
              </w:rPr>
              <w:t>0.28</w:t>
            </w:r>
          </w:p>
        </w:tc>
      </w:tr>
    </w:tbl>
    <w:p>
      <w:pPr>
        <w:spacing w:before="156"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line="240" w:lineRule="auto"/>
        <w:rPr>
          <w:sz w:val="21"/>
          <w:szCs w:val="21"/>
          <w:lang w:val="en-US"/>
        </w:rPr>
      </w:pPr>
      <w:r>
        <w:rPr>
          <w:sz w:val="21"/>
          <w:szCs w:val="21"/>
          <w:lang w:val="en-US"/>
        </w:rPr>
        <w:t xml:space="preserve">    </w:t>
      </w:r>
      <w:r>
        <w:rPr>
          <w:rFonts w:hint="eastAsia"/>
          <w:sz w:val="21"/>
          <w:szCs w:val="21"/>
          <w:lang w:val="en-US"/>
        </w:rPr>
        <w:t>本项目采用自由出流作为出口边界条件。</w:t>
      </w:r>
    </w:p>
    <w:p>
      <w:pPr>
        <w:pStyle w:val="5"/>
      </w:pPr>
      <w:bookmarkStart w:id="54" w:name="_Toc509844744"/>
      <w:bookmarkStart w:id="55" w:name="_Toc92121759"/>
      <w:r>
        <w:rPr>
          <w:rFonts w:hint="eastAsia"/>
        </w:rPr>
        <w:t>壁面边界条件</w:t>
      </w:r>
      <w:bookmarkEnd w:id="54"/>
      <w:bookmarkEnd w:id="55"/>
    </w:p>
    <w:p>
      <w:pPr>
        <w:pStyle w:val="3"/>
        <w:ind w:firstLine="21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6" w:name="_Toc92121760"/>
      <w:r>
        <w:rPr>
          <w:rFonts w:hint="eastAsia"/>
        </w:rPr>
        <w:t>湍流模型</w:t>
      </w:r>
      <w:bookmarkEnd w:id="25"/>
      <w:bookmarkEnd w:id="26"/>
      <w:bookmarkEnd w:id="56"/>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3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b/>
                <w:bCs/>
                <w:sz w:val="21"/>
                <w:szCs w:val="21"/>
              </w:rPr>
            </w:pPr>
            <w:r>
              <w:rPr>
                <w:rFonts w:hint="eastAsia" w:ascii="宋体" w:hAnsi="宋体" w:cs="宋体"/>
                <w:b/>
                <w:bCs/>
                <w:sz w:val="21"/>
                <w:szCs w:val="21"/>
              </w:rPr>
              <w:t>常用湍流模型</w:t>
            </w:r>
          </w:p>
        </w:tc>
        <w:tc>
          <w:tcPr>
            <w:tcW w:w="6760"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bCs/>
                <w:sz w:val="21"/>
                <w:szCs w:val="21"/>
              </w:rPr>
            </w:pPr>
            <w:r>
              <w:rPr>
                <w:rFonts w:hint="eastAsia" w:ascii="宋体" w:hAnsi="宋体" w:cs="宋体"/>
                <w:b/>
                <w:bCs/>
                <w:sz w:val="21"/>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b/>
                <w:sz w:val="21"/>
                <w:szCs w:val="21"/>
              </w:rPr>
            </w:pPr>
            <w:r>
              <w:rPr>
                <w:rFonts w:hint="eastAsia" w:ascii="宋体" w:hAnsi="宋体" w:cs="宋体"/>
                <w:b/>
                <w:sz w:val="21"/>
                <w:szCs w:val="21"/>
              </w:rPr>
              <w:t xml:space="preserve"> standard k-ε </w:t>
            </w:r>
            <w:r>
              <w:rPr>
                <w:rFonts w:hint="eastAsia" w:ascii="宋体" w:hAnsi="宋体" w:cs="宋体"/>
                <w:b/>
                <w:color w:val="333333"/>
                <w:sz w:val="21"/>
                <w:szCs w:val="21"/>
              </w:rPr>
              <w:t>模型</w:t>
            </w:r>
          </w:p>
        </w:tc>
        <w:tc>
          <w:tcPr>
            <w:tcW w:w="6760" w:type="dxa"/>
            <w:tcBorders>
              <w:top w:val="nil"/>
              <w:left w:val="nil"/>
              <w:bottom w:val="single" w:color="auto" w:sz="4" w:space="0"/>
              <w:right w:val="single" w:color="auto" w:sz="4" w:space="0"/>
            </w:tcBorders>
            <w:noWrap w:val="0"/>
            <w:vAlign w:val="center"/>
          </w:tcPr>
          <w:p>
            <w:pPr>
              <w:rPr>
                <w:rFonts w:ascii="宋体" w:hAnsi="宋体" w:cs="宋体"/>
                <w:sz w:val="21"/>
                <w:szCs w:val="21"/>
              </w:rPr>
            </w:pPr>
            <w:r>
              <w:rPr>
                <w:rFonts w:hint="eastAsia" w:ascii="宋体" w:hAnsi="宋体" w:cs="宋体"/>
                <w:sz w:val="21"/>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b/>
                <w:sz w:val="21"/>
                <w:szCs w:val="21"/>
              </w:rPr>
            </w:pPr>
            <w:r>
              <w:rPr>
                <w:rFonts w:hint="eastAsia" w:ascii="宋体" w:hAnsi="宋体" w:cs="宋体"/>
                <w:b/>
                <w:sz w:val="21"/>
                <w:szCs w:val="21"/>
              </w:rPr>
              <w:t>RNG k-ε</w:t>
            </w:r>
            <w:r>
              <w:rPr>
                <w:rFonts w:hint="eastAsia" w:ascii="宋体" w:hAnsi="宋体" w:cs="宋体"/>
                <w:b/>
                <w:color w:val="333333"/>
                <w:sz w:val="21"/>
                <w:szCs w:val="21"/>
              </w:rPr>
              <w:t>模型</w:t>
            </w:r>
          </w:p>
        </w:tc>
        <w:tc>
          <w:tcPr>
            <w:tcW w:w="6760" w:type="dxa"/>
            <w:tcBorders>
              <w:top w:val="nil"/>
              <w:left w:val="nil"/>
              <w:bottom w:val="single" w:color="auto" w:sz="4" w:space="0"/>
              <w:right w:val="single" w:color="auto" w:sz="4" w:space="0"/>
            </w:tcBorders>
            <w:noWrap w:val="0"/>
            <w:vAlign w:val="center"/>
          </w:tcPr>
          <w:p>
            <w:pPr>
              <w:rPr>
                <w:rFonts w:ascii="宋体" w:hAnsi="宋体" w:cs="宋体"/>
                <w:sz w:val="21"/>
                <w:szCs w:val="21"/>
              </w:rPr>
            </w:pPr>
            <w:r>
              <w:rPr>
                <w:rFonts w:hint="eastAsia" w:ascii="宋体" w:hAnsi="宋体" w:cs="宋体"/>
                <w:sz w:val="21"/>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b/>
                <w:sz w:val="21"/>
                <w:szCs w:val="21"/>
              </w:rPr>
            </w:pPr>
            <w:r>
              <w:rPr>
                <w:rFonts w:hint="eastAsia" w:ascii="宋体" w:hAnsi="宋体" w:cs="宋体"/>
                <w:b/>
                <w:sz w:val="21"/>
                <w:szCs w:val="21"/>
              </w:rPr>
              <w:t xml:space="preserve">realizable k-ε </w:t>
            </w:r>
            <w:r>
              <w:rPr>
                <w:rFonts w:hint="eastAsia" w:ascii="宋体" w:hAnsi="宋体" w:cs="宋体"/>
                <w:b/>
                <w:color w:val="333333"/>
                <w:sz w:val="21"/>
                <w:szCs w:val="21"/>
              </w:rPr>
              <w:t>模型</w:t>
            </w:r>
          </w:p>
        </w:tc>
        <w:tc>
          <w:tcPr>
            <w:tcW w:w="6760" w:type="dxa"/>
            <w:tcBorders>
              <w:top w:val="nil"/>
              <w:left w:val="nil"/>
              <w:bottom w:val="single" w:color="auto" w:sz="4" w:space="0"/>
              <w:right w:val="single" w:color="auto" w:sz="4" w:space="0"/>
            </w:tcBorders>
            <w:noWrap w:val="0"/>
            <w:vAlign w:val="center"/>
          </w:tcPr>
          <w:p>
            <w:pPr>
              <w:rPr>
                <w:rFonts w:ascii="宋体" w:hAnsi="宋体" w:cs="宋体"/>
                <w:sz w:val="21"/>
                <w:szCs w:val="21"/>
              </w:rPr>
            </w:pPr>
            <w:r>
              <w:rPr>
                <w:rFonts w:hint="eastAsia" w:ascii="宋体" w:hAnsi="宋体" w:cs="宋体"/>
                <w:sz w:val="21"/>
                <w:szCs w:val="21"/>
              </w:rPr>
              <w:t>旋转流动、强逆压梯度的边界层流动、流动分离和二次流，类似于RNG。</w:t>
            </w:r>
          </w:p>
        </w:tc>
      </w:tr>
    </w:tbl>
    <w:p>
      <w:pPr>
        <w:pStyle w:val="4"/>
        <w:numPr>
          <w:ilvl w:val="1"/>
          <w:numId w:val="3"/>
        </w:numPr>
      </w:pPr>
      <w:bookmarkStart w:id="57" w:name="_Toc452108767"/>
      <w:bookmarkStart w:id="58" w:name="_Toc451698939"/>
      <w:bookmarkStart w:id="59" w:name="_Toc92121761"/>
      <w:r>
        <w:rPr>
          <w:rFonts w:hint="eastAsia"/>
        </w:rPr>
        <w:t>求解计算</w:t>
      </w:r>
      <w:bookmarkEnd w:id="57"/>
      <w:bookmarkEnd w:id="58"/>
      <w:bookmarkEnd w:id="59"/>
    </w:p>
    <w:p>
      <w:pPr>
        <w:pStyle w:val="3"/>
        <w:numPr>
          <w:ilvl w:val="0"/>
          <w:numId w:val="6"/>
        </w:numPr>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jc w:val="center"/>
        <w:rPr>
          <w:lang w:val="en-US"/>
        </w:rPr>
      </w:pPr>
      <w:r>
        <w:rPr>
          <w:lang w:val="en-US"/>
        </w:rPr>
        <w:drawing>
          <wp:inline distT="0" distB="0" distL="0" distR="0">
            <wp:extent cx="2381250" cy="40005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1"/>
                    <a:stretch>
                      <a:fillRect/>
                    </a:stretch>
                  </pic:blipFill>
                  <pic:spPr>
                    <a:xfrm>
                      <a:off x="0" y="0"/>
                      <a:ext cx="2381250" cy="400050"/>
                    </a:xfrm>
                    <a:prstGeom prst="rect">
                      <a:avLst/>
                    </a:prstGeom>
                    <a:noFill/>
                    <a:ln>
                      <a:noFill/>
                    </a:ln>
                  </pic:spPr>
                </pic:pic>
              </a:graphicData>
            </a:graphic>
          </wp:inline>
        </w:drawing>
      </w:r>
    </w:p>
    <w:p>
      <w:pPr>
        <w:pStyle w:val="3"/>
        <w:ind w:firstLine="525"/>
        <w:rPr>
          <w:lang w:val="en-US"/>
        </w:rPr>
      </w:pPr>
      <w:r>
        <w:rPr>
          <w:rFonts w:hint="eastAsia"/>
          <w:lang w:val="en-US"/>
        </w:rPr>
        <w:t>该式中的φ可以是速度、湍流动能、湍流耗散率以及温度等物理量，参照下表</w:t>
      </w:r>
    </w:p>
    <w:p>
      <w:pPr>
        <w:pStyle w:val="3"/>
        <w:ind w:firstLine="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3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008" w:type="dxa"/>
            <w:tcBorders>
              <w:top w:val="single" w:color="auto" w:sz="4" w:space="0"/>
              <w:left w:val="single" w:color="auto" w:sz="4" w:space="0"/>
              <w:bottom w:val="single" w:color="auto" w:sz="6" w:space="0"/>
              <w:right w:val="single" w:color="auto" w:sz="6" w:space="0"/>
            </w:tcBorders>
            <w:shd w:val="clear" w:color="C0C0C0" w:fill="C0C0C0"/>
            <w:noWrap w:val="0"/>
            <w:vAlign w:val="center"/>
          </w:tcPr>
          <w:p>
            <w:pPr>
              <w:widowControl w:val="0"/>
              <w:jc w:val="both"/>
              <w:rPr>
                <w:rFonts w:cs="Calibri"/>
                <w:b/>
                <w:bCs/>
                <w:sz w:val="24"/>
                <w:szCs w:val="24"/>
              </w:rPr>
            </w:pPr>
            <w:r>
              <w:rPr>
                <w:rFonts w:hint="eastAsia"/>
                <w:b/>
                <w:bCs/>
                <w:sz w:val="24"/>
                <w:szCs w:val="24"/>
              </w:rPr>
              <w:t>名称</w:t>
            </w:r>
          </w:p>
        </w:tc>
        <w:tc>
          <w:tcPr>
            <w:tcW w:w="720" w:type="dxa"/>
            <w:tcBorders>
              <w:top w:val="single" w:color="auto" w:sz="4" w:space="0"/>
              <w:left w:val="single" w:color="auto" w:sz="6" w:space="0"/>
              <w:bottom w:val="single" w:color="auto" w:sz="6" w:space="0"/>
              <w:right w:val="single" w:color="auto" w:sz="6" w:space="0"/>
            </w:tcBorders>
            <w:shd w:val="clear" w:color="C0C0C0" w:fill="C0C0C0"/>
            <w:noWrap w:val="0"/>
            <w:vAlign w:val="center"/>
          </w:tcPr>
          <w:p>
            <w:pPr>
              <w:widowControl w:val="0"/>
              <w:jc w:val="both"/>
              <w:rPr>
                <w:rFonts w:cs="Calibri"/>
                <w:b/>
                <w:bCs/>
                <w:sz w:val="24"/>
                <w:szCs w:val="24"/>
              </w:rPr>
            </w:pPr>
            <w:r>
              <w:rPr>
                <w:rFonts w:hint="eastAsia"/>
                <w:b/>
                <w:bCs/>
                <w:sz w:val="24"/>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C0C0C0" w:fill="C0C0C0"/>
            <w:noWrap w:val="0"/>
            <w:vAlign w:val="center"/>
          </w:tcPr>
          <w:p>
            <w:pPr>
              <w:widowControl w:val="0"/>
              <w:jc w:val="both"/>
              <w:rPr>
                <w:rFonts w:cs="Calibri"/>
                <w:sz w:val="24"/>
                <w:szCs w:val="24"/>
              </w:rPr>
            </w:pPr>
            <w:r>
              <w:rPr>
                <w:position w:val="-14"/>
                <w:sz w:val="24"/>
                <w:szCs w:val="24"/>
                <w:lang w:val="en-US"/>
              </w:rPr>
              <w:drawing>
                <wp:inline distT="0" distB="0" distL="0" distR="0">
                  <wp:extent cx="180975" cy="23812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C0C0C0" w:fill="C0C0C0"/>
            <w:noWrap w:val="0"/>
            <w:vAlign w:val="center"/>
          </w:tcPr>
          <w:p>
            <w:pPr>
              <w:widowControl w:val="0"/>
              <w:jc w:val="both"/>
              <w:rPr>
                <w:rFonts w:cs="Calibri"/>
                <w:sz w:val="24"/>
                <w:szCs w:val="24"/>
              </w:rPr>
            </w:pPr>
            <w:r>
              <w:rPr>
                <w:position w:val="-14"/>
                <w:sz w:val="24"/>
                <w:szCs w:val="24"/>
                <w:lang w:val="en-US"/>
              </w:rPr>
              <w:drawing>
                <wp:inline distT="0" distB="0" distL="0" distR="0">
                  <wp:extent cx="190500" cy="238125"/>
                  <wp:effectExtent l="0" t="0" r="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noWrap w:val="0"/>
            <w:vAlign w:val="center"/>
          </w:tcPr>
          <w:p>
            <w:pPr>
              <w:widowControl w:val="0"/>
              <w:jc w:val="both"/>
              <w:rPr>
                <w:rFonts w:cs="Calibri"/>
                <w:sz w:val="24"/>
                <w:szCs w:val="24"/>
              </w:rPr>
            </w:pPr>
            <w:r>
              <w:rPr>
                <w:rFonts w:hint="eastAsia"/>
                <w:sz w:val="24"/>
                <w:szCs w:val="24"/>
              </w:rPr>
              <w:t>连续性方程</w:t>
            </w:r>
          </w:p>
        </w:tc>
        <w:tc>
          <w:tcPr>
            <w:tcW w:w="720" w:type="dxa"/>
            <w:tcBorders>
              <w:top w:val="single" w:color="auto" w:sz="6" w:space="0"/>
              <w:left w:val="single" w:color="auto" w:sz="6" w:space="0"/>
              <w:bottom w:val="single" w:color="auto" w:sz="6" w:space="0"/>
              <w:right w:val="single" w:color="auto" w:sz="6" w:space="0"/>
            </w:tcBorders>
            <w:noWrap w:val="0"/>
            <w:vAlign w:val="center"/>
          </w:tcPr>
          <w:p>
            <w:pPr>
              <w:widowControl w:val="0"/>
              <w:jc w:val="both"/>
              <w:rPr>
                <w:rFonts w:cs="Calibri"/>
                <w:sz w:val="24"/>
                <w:szCs w:val="24"/>
              </w:rPr>
            </w:pPr>
            <w:r>
              <w:rPr>
                <w:sz w:val="24"/>
                <w:szCs w:val="24"/>
              </w:rPr>
              <w:t>1</w:t>
            </w:r>
          </w:p>
        </w:tc>
        <w:tc>
          <w:tcPr>
            <w:tcW w:w="1476" w:type="dxa"/>
            <w:tcBorders>
              <w:top w:val="single" w:color="auto" w:sz="6" w:space="0"/>
              <w:left w:val="single" w:color="auto" w:sz="6" w:space="0"/>
              <w:bottom w:val="single" w:color="auto" w:sz="6" w:space="0"/>
              <w:right w:val="single" w:color="auto" w:sz="6" w:space="0"/>
            </w:tcBorders>
            <w:noWrap w:val="0"/>
            <w:vAlign w:val="center"/>
          </w:tcPr>
          <w:p>
            <w:pPr>
              <w:widowControl w:val="0"/>
              <w:jc w:val="both"/>
              <w:rPr>
                <w:rFonts w:cs="Calibri"/>
                <w:sz w:val="24"/>
                <w:szCs w:val="24"/>
              </w:rPr>
            </w:pPr>
            <w:r>
              <w:rPr>
                <w:sz w:val="24"/>
                <w:szCs w:val="24"/>
              </w:rPr>
              <w:t>0</w:t>
            </w:r>
          </w:p>
        </w:tc>
        <w:tc>
          <w:tcPr>
            <w:tcW w:w="5616" w:type="dxa"/>
            <w:tcBorders>
              <w:top w:val="single" w:color="auto" w:sz="6" w:space="0"/>
              <w:left w:val="single" w:color="auto" w:sz="6" w:space="0"/>
              <w:bottom w:val="single" w:color="auto" w:sz="6" w:space="0"/>
              <w:right w:val="single" w:color="auto" w:sz="4" w:space="0"/>
            </w:tcBorders>
            <w:noWrap w:val="0"/>
            <w:vAlign w:val="center"/>
          </w:tcPr>
          <w:p>
            <w:pPr>
              <w:widowControl w:val="0"/>
              <w:jc w:val="both"/>
              <w:rPr>
                <w:rFonts w:cs="Calibri"/>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noWrap w:val="0"/>
            <w:vAlign w:val="center"/>
          </w:tcPr>
          <w:p>
            <w:pPr>
              <w:widowControl w:val="0"/>
              <w:jc w:val="both"/>
              <w:rPr>
                <w:rFonts w:cs="Calibri"/>
                <w:sz w:val="24"/>
                <w:szCs w:val="24"/>
              </w:rPr>
            </w:pPr>
            <w:r>
              <w:rPr>
                <w:sz w:val="24"/>
                <w:szCs w:val="24"/>
              </w:rPr>
              <w:t xml:space="preserve">x </w:t>
            </w:r>
            <w:r>
              <w:rPr>
                <w:rFonts w:hint="eastAsia"/>
                <w:sz w:val="24"/>
                <w:szCs w:val="24"/>
              </w:rPr>
              <w:t>速度</w:t>
            </w:r>
          </w:p>
        </w:tc>
        <w:tc>
          <w:tcPr>
            <w:tcW w:w="720"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6"/>
                <w:sz w:val="24"/>
                <w:szCs w:val="24"/>
                <w:lang w:val="en-US"/>
              </w:rPr>
              <w:drawing>
                <wp:inline distT="0" distB="0" distL="0" distR="0">
                  <wp:extent cx="123825" cy="142875"/>
                  <wp:effectExtent l="0" t="0" r="9525"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14"/>
                <w:sz w:val="24"/>
                <w:szCs w:val="24"/>
                <w:lang w:val="en-US"/>
              </w:rPr>
              <w:drawing>
                <wp:inline distT="0" distB="0" distL="0" distR="0">
                  <wp:extent cx="733425" cy="21907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733424" cy="219074"/>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noWrap w:val="0"/>
            <w:vAlign w:val="center"/>
          </w:tcPr>
          <w:p>
            <w:pPr>
              <w:widowControl w:val="0"/>
              <w:spacing w:line="480" w:lineRule="auto"/>
              <w:jc w:val="both"/>
              <w:rPr>
                <w:rFonts w:cs="Calibri"/>
                <w:color w:val="000000"/>
                <w:sz w:val="24"/>
                <w:szCs w:val="24"/>
              </w:rPr>
            </w:pPr>
            <w:r>
              <w:rPr>
                <w:color w:val="000000"/>
                <w:position w:val="-28"/>
                <w:sz w:val="24"/>
                <w:szCs w:val="24"/>
                <w:lang w:val="en-US"/>
              </w:rPr>
              <w:drawing>
                <wp:inline distT="0" distB="0" distL="0" distR="0">
                  <wp:extent cx="3076575" cy="4286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6"/>
                          <a:stretch>
                            <a:fillRect/>
                          </a:stretch>
                        </pic:blipFill>
                        <pic:spPr>
                          <a:xfrm>
                            <a:off x="0" y="0"/>
                            <a:ext cx="3076574"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noWrap w:val="0"/>
            <w:vAlign w:val="center"/>
          </w:tcPr>
          <w:p>
            <w:pPr>
              <w:widowControl w:val="0"/>
              <w:jc w:val="both"/>
              <w:rPr>
                <w:rFonts w:cs="Calibri"/>
                <w:sz w:val="24"/>
                <w:szCs w:val="24"/>
              </w:rPr>
            </w:pPr>
            <w:r>
              <w:rPr>
                <w:sz w:val="24"/>
                <w:szCs w:val="24"/>
              </w:rPr>
              <w:t xml:space="preserve">y </w:t>
            </w:r>
            <w:r>
              <w:rPr>
                <w:rFonts w:hint="eastAsia"/>
                <w:sz w:val="24"/>
                <w:szCs w:val="24"/>
              </w:rPr>
              <w:t>速度</w:t>
            </w:r>
          </w:p>
        </w:tc>
        <w:tc>
          <w:tcPr>
            <w:tcW w:w="720"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6"/>
                <w:sz w:val="24"/>
                <w:szCs w:val="24"/>
                <w:lang w:val="en-US"/>
              </w:rPr>
              <w:drawing>
                <wp:inline distT="0" distB="0" distL="0" distR="0">
                  <wp:extent cx="114300" cy="142875"/>
                  <wp:effectExtent l="0" t="0" r="0"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7"/>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14"/>
                <w:sz w:val="24"/>
                <w:szCs w:val="24"/>
                <w:lang w:val="en-US"/>
              </w:rPr>
              <w:drawing>
                <wp:inline distT="0" distB="0" distL="0" distR="0">
                  <wp:extent cx="714375" cy="219075"/>
                  <wp:effectExtent l="0" t="0" r="952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714375" cy="219074"/>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noWrap w:val="0"/>
            <w:vAlign w:val="center"/>
          </w:tcPr>
          <w:p>
            <w:pPr>
              <w:widowControl w:val="0"/>
              <w:spacing w:line="480" w:lineRule="auto"/>
              <w:jc w:val="both"/>
              <w:rPr>
                <w:rFonts w:cs="Calibri"/>
                <w:color w:val="000000"/>
                <w:sz w:val="24"/>
                <w:szCs w:val="24"/>
              </w:rPr>
            </w:pPr>
            <w:r>
              <w:rPr>
                <w:color w:val="000000"/>
                <w:position w:val="-30"/>
                <w:sz w:val="24"/>
                <w:szCs w:val="24"/>
                <w:lang w:val="en-US"/>
              </w:rPr>
              <w:drawing>
                <wp:inline distT="0" distB="0" distL="0" distR="0">
                  <wp:extent cx="3086100" cy="457200"/>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9"/>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noWrap w:val="0"/>
            <w:vAlign w:val="center"/>
          </w:tcPr>
          <w:p>
            <w:pPr>
              <w:widowControl w:val="0"/>
              <w:jc w:val="both"/>
              <w:rPr>
                <w:rFonts w:cs="Calibri"/>
                <w:sz w:val="24"/>
                <w:szCs w:val="24"/>
              </w:rPr>
            </w:pPr>
            <w:r>
              <w:rPr>
                <w:sz w:val="24"/>
                <w:szCs w:val="24"/>
              </w:rPr>
              <w:t xml:space="preserve">z </w:t>
            </w:r>
            <w:r>
              <w:rPr>
                <w:rFonts w:hint="eastAsia"/>
                <w:sz w:val="24"/>
                <w:szCs w:val="24"/>
              </w:rPr>
              <w:t>速度</w:t>
            </w:r>
          </w:p>
        </w:tc>
        <w:tc>
          <w:tcPr>
            <w:tcW w:w="720"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6"/>
                <w:sz w:val="24"/>
                <w:szCs w:val="24"/>
                <w:lang w:val="en-US"/>
              </w:rPr>
              <w:drawing>
                <wp:inline distT="0" distB="0" distL="0" distR="0">
                  <wp:extent cx="171450" cy="114300"/>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0"/>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14"/>
                <w:sz w:val="24"/>
                <w:szCs w:val="24"/>
                <w:lang w:val="en-US"/>
              </w:rPr>
              <w:drawing>
                <wp:inline distT="0" distB="0" distL="0" distR="0">
                  <wp:extent cx="714375" cy="219075"/>
                  <wp:effectExtent l="0" t="0" r="9525"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8"/>
                          <a:stretch>
                            <a:fillRect/>
                          </a:stretch>
                        </pic:blipFill>
                        <pic:spPr>
                          <a:xfrm>
                            <a:off x="0" y="0"/>
                            <a:ext cx="714375" cy="219074"/>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noWrap w:val="0"/>
            <w:vAlign w:val="center"/>
          </w:tcPr>
          <w:p>
            <w:pPr>
              <w:widowControl w:val="0"/>
              <w:spacing w:line="480" w:lineRule="auto"/>
              <w:jc w:val="both"/>
              <w:rPr>
                <w:rFonts w:cs="Calibri"/>
                <w:color w:val="000000"/>
                <w:sz w:val="24"/>
                <w:szCs w:val="24"/>
              </w:rPr>
            </w:pPr>
            <w:r>
              <w:rPr>
                <w:color w:val="000000"/>
                <w:position w:val="-28"/>
                <w:sz w:val="24"/>
                <w:szCs w:val="24"/>
                <w:lang w:val="en-US"/>
              </w:rPr>
              <w:drawing>
                <wp:inline distT="0" distB="0" distL="0" distR="0">
                  <wp:extent cx="3390900" cy="428625"/>
                  <wp:effectExtent l="0" t="0" r="0" b="952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1"/>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noWrap w:val="0"/>
            <w:vAlign w:val="center"/>
          </w:tcPr>
          <w:p>
            <w:pPr>
              <w:rPr>
                <w:rFonts w:cs="Calibri"/>
                <w:sz w:val="24"/>
                <w:szCs w:val="24"/>
              </w:rPr>
            </w:pPr>
            <w:r>
              <w:rPr>
                <w:rFonts w:hint="eastAsia"/>
                <w:sz w:val="24"/>
                <w:szCs w:val="24"/>
              </w:rPr>
              <w:t>湍流</w:t>
            </w:r>
          </w:p>
          <w:p>
            <w:pPr>
              <w:widowControl w:val="0"/>
              <w:jc w:val="both"/>
              <w:rPr>
                <w:rFonts w:cs="Calibri"/>
                <w:sz w:val="24"/>
                <w:szCs w:val="24"/>
              </w:rPr>
            </w:pPr>
            <w:r>
              <w:rPr>
                <w:rFonts w:hint="eastAsia"/>
                <w:sz w:val="24"/>
                <w:szCs w:val="24"/>
              </w:rPr>
              <w:t>动能</w:t>
            </w:r>
          </w:p>
        </w:tc>
        <w:tc>
          <w:tcPr>
            <w:tcW w:w="720"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6"/>
                <w:sz w:val="24"/>
                <w:szCs w:val="24"/>
                <w:lang w:val="en-US"/>
              </w:rPr>
              <w:drawing>
                <wp:inline distT="0" distB="0" distL="0" distR="0">
                  <wp:extent cx="123825" cy="18097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2"/>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14"/>
                <w:sz w:val="24"/>
                <w:szCs w:val="24"/>
                <w:lang w:val="en-US"/>
              </w:rPr>
              <w:drawing>
                <wp:inline distT="0" distB="0" distL="0" distR="0">
                  <wp:extent cx="419100" cy="23812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3"/>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noWrap w:val="0"/>
            <w:vAlign w:val="center"/>
          </w:tcPr>
          <w:p>
            <w:pPr>
              <w:widowControl w:val="0"/>
              <w:spacing w:line="480" w:lineRule="auto"/>
              <w:jc w:val="both"/>
              <w:rPr>
                <w:rFonts w:cs="Calibri"/>
                <w:color w:val="000000"/>
                <w:sz w:val="24"/>
                <w:szCs w:val="24"/>
              </w:rPr>
            </w:pPr>
            <w:r>
              <w:rPr>
                <w:color w:val="000000"/>
                <w:position w:val="-12"/>
                <w:sz w:val="24"/>
                <w:szCs w:val="24"/>
                <w:lang w:val="en-US"/>
              </w:rPr>
              <w:drawing>
                <wp:inline distT="0" distB="0" distL="0" distR="0">
                  <wp:extent cx="866775" cy="228600"/>
                  <wp:effectExtent l="0" t="0" r="9525"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4"/>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noWrap w:val="0"/>
            <w:vAlign w:val="center"/>
          </w:tcPr>
          <w:p>
            <w:pPr>
              <w:rPr>
                <w:rFonts w:cs="Calibri"/>
                <w:sz w:val="24"/>
                <w:szCs w:val="24"/>
              </w:rPr>
            </w:pPr>
            <w:r>
              <w:rPr>
                <w:rFonts w:hint="eastAsia"/>
                <w:sz w:val="24"/>
                <w:szCs w:val="24"/>
              </w:rPr>
              <w:t>湍流</w:t>
            </w:r>
          </w:p>
          <w:p>
            <w:pPr>
              <w:widowControl w:val="0"/>
              <w:jc w:val="both"/>
              <w:rPr>
                <w:rFonts w:cs="Calibri"/>
                <w:sz w:val="24"/>
                <w:szCs w:val="24"/>
              </w:rPr>
            </w:pPr>
            <w:r>
              <w:rPr>
                <w:rFonts w:hint="eastAsia"/>
                <w:sz w:val="24"/>
                <w:szCs w:val="24"/>
              </w:rPr>
              <w:t>耗散</w:t>
            </w:r>
          </w:p>
        </w:tc>
        <w:tc>
          <w:tcPr>
            <w:tcW w:w="720"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6"/>
                <w:sz w:val="24"/>
                <w:szCs w:val="24"/>
                <w:lang w:val="en-US"/>
              </w:rPr>
              <w:drawing>
                <wp:inline distT="0" distB="0" distL="0" distR="0">
                  <wp:extent cx="123825" cy="142875"/>
                  <wp:effectExtent l="0" t="0" r="9525" b="952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5"/>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14"/>
                <w:sz w:val="24"/>
                <w:szCs w:val="24"/>
                <w:lang w:val="en-US"/>
              </w:rPr>
              <w:drawing>
                <wp:inline distT="0" distB="0" distL="0" distR="0">
                  <wp:extent cx="409575" cy="238125"/>
                  <wp:effectExtent l="0" t="0" r="9525"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6"/>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noWrap w:val="0"/>
            <w:vAlign w:val="center"/>
          </w:tcPr>
          <w:p>
            <w:pPr>
              <w:widowControl w:val="0"/>
              <w:spacing w:line="480" w:lineRule="auto"/>
              <w:jc w:val="both"/>
              <w:rPr>
                <w:rFonts w:cs="Calibri"/>
                <w:color w:val="000000"/>
                <w:sz w:val="24"/>
                <w:szCs w:val="24"/>
              </w:rPr>
            </w:pPr>
            <w:r>
              <w:rPr>
                <w:color w:val="000000"/>
                <w:position w:val="-24"/>
                <w:sz w:val="24"/>
                <w:szCs w:val="24"/>
                <w:lang w:val="en-US"/>
              </w:rPr>
              <w:drawing>
                <wp:inline distT="0" distB="0" distL="0" distR="0">
                  <wp:extent cx="2171700" cy="419100"/>
                  <wp:effectExtent l="0" t="0" r="0" b="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7"/>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noWrap w:val="0"/>
            <w:vAlign w:val="center"/>
          </w:tcPr>
          <w:p>
            <w:pPr>
              <w:widowControl w:val="0"/>
              <w:jc w:val="both"/>
              <w:rPr>
                <w:rFonts w:cs="Calibri"/>
                <w:sz w:val="24"/>
                <w:szCs w:val="24"/>
              </w:rPr>
            </w:pPr>
            <w:r>
              <w:rPr>
                <w:rFonts w:hint="eastAsia"/>
                <w:sz w:val="24"/>
                <w:szCs w:val="24"/>
              </w:rPr>
              <w:t>温度</w:t>
            </w:r>
          </w:p>
        </w:tc>
        <w:tc>
          <w:tcPr>
            <w:tcW w:w="720" w:type="dxa"/>
            <w:tcBorders>
              <w:top w:val="single" w:color="auto" w:sz="6" w:space="0"/>
              <w:left w:val="single" w:color="auto" w:sz="6" w:space="0"/>
              <w:bottom w:val="single" w:color="auto" w:sz="4"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4"/>
                <w:sz w:val="24"/>
                <w:szCs w:val="24"/>
                <w:lang w:val="en-US"/>
              </w:rPr>
              <w:drawing>
                <wp:inline distT="0" distB="0" distL="0" distR="0">
                  <wp:extent cx="142875" cy="161925"/>
                  <wp:effectExtent l="0" t="0" r="9525" b="952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8"/>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noWrap w:val="0"/>
            <w:vAlign w:val="center"/>
          </w:tcPr>
          <w:p>
            <w:pPr>
              <w:widowControl w:val="0"/>
              <w:spacing w:line="480" w:lineRule="auto"/>
              <w:jc w:val="both"/>
              <w:rPr>
                <w:rFonts w:cs="Calibri"/>
                <w:color w:val="000000"/>
                <w:sz w:val="24"/>
                <w:szCs w:val="24"/>
              </w:rPr>
            </w:pPr>
            <w:r>
              <w:rPr>
                <w:color w:val="000000"/>
                <w:position w:val="-30"/>
                <w:sz w:val="24"/>
                <w:szCs w:val="24"/>
                <w:lang w:val="en-US"/>
              </w:rPr>
              <w:drawing>
                <wp:inline distT="0" distB="0" distL="0" distR="0">
                  <wp:extent cx="542925" cy="428625"/>
                  <wp:effectExtent l="0" t="0" r="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9"/>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noWrap w:val="0"/>
            <w:vAlign w:val="center"/>
          </w:tcPr>
          <w:p>
            <w:pPr>
              <w:widowControl w:val="0"/>
              <w:spacing w:line="480" w:lineRule="auto"/>
              <w:jc w:val="both"/>
              <w:rPr>
                <w:rFonts w:cs="Calibri"/>
                <w:color w:val="000000"/>
                <w:sz w:val="24"/>
                <w:szCs w:val="24"/>
              </w:rPr>
            </w:pPr>
            <w:r>
              <w:rPr>
                <w:color w:val="000000"/>
                <w:position w:val="-10"/>
                <w:sz w:val="24"/>
                <w:szCs w:val="24"/>
                <w:lang w:val="en-US"/>
              </w:rPr>
              <w:drawing>
                <wp:inline distT="0" distB="0" distL="0" distR="0">
                  <wp:extent cx="190500" cy="219075"/>
                  <wp:effectExtent l="0" t="0" r="0" b="952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40"/>
                          <a:stretch>
                            <a:fillRect/>
                          </a:stretch>
                        </pic:blipFill>
                        <pic:spPr>
                          <a:xfrm>
                            <a:off x="0" y="0"/>
                            <a:ext cx="190500" cy="219074"/>
                          </a:xfrm>
                          <a:prstGeom prst="rect">
                            <a:avLst/>
                          </a:prstGeom>
                          <a:noFill/>
                          <a:ln>
                            <a:noFill/>
                          </a:ln>
                        </pic:spPr>
                      </pic:pic>
                    </a:graphicData>
                  </a:graphic>
                </wp:inline>
              </w:drawing>
            </w:r>
          </w:p>
        </w:tc>
      </w:tr>
    </w:tbl>
    <w:p>
      <w:pPr>
        <w:pStyle w:val="3"/>
        <w:ind w:firstLine="525"/>
        <w:rPr>
          <w:lang w:val="en-US"/>
        </w:rPr>
      </w:pPr>
      <w:r>
        <w:rPr>
          <w:rFonts w:hint="eastAsia"/>
          <w:lang w:val="en-US"/>
        </w:rPr>
        <w:t>上表中的常数如下：</w:t>
      </w:r>
    </w:p>
    <w:p>
      <w:pPr>
        <w:pStyle w:val="3"/>
        <w:ind w:firstLine="525"/>
        <w:rPr>
          <w:lang w:val="en-US"/>
        </w:rPr>
      </w:pPr>
      <w:r>
        <w:rPr>
          <w:lang w:val="en-US"/>
        </w:rPr>
        <w:drawing>
          <wp:inline distT="0" distB="0" distL="0" distR="0">
            <wp:extent cx="657225" cy="238125"/>
            <wp:effectExtent l="0" t="0" r="9525" b="952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41"/>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2"/>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43"/>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44"/>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45"/>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46"/>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47"/>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48"/>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49"/>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50"/>
                    <a:stretch>
                      <a:fillRect/>
                    </a:stretch>
                  </pic:blipFill>
                  <pic:spPr>
                    <a:xfrm>
                      <a:off x="0" y="0"/>
                      <a:ext cx="647700" cy="219074"/>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51"/>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52"/>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53"/>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54"/>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55"/>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56"/>
                    <a:stretch>
                      <a:fillRect/>
                    </a:stretch>
                  </pic:blipFill>
                  <pic:spPr>
                    <a:xfrm>
                      <a:off x="0" y="0"/>
                      <a:ext cx="1028700" cy="228600"/>
                    </a:xfrm>
                    <a:prstGeom prst="rect">
                      <a:avLst/>
                    </a:prstGeom>
                    <a:noFill/>
                    <a:ln>
                      <a:noFill/>
                    </a:ln>
                  </pic:spPr>
                </pic:pic>
              </a:graphicData>
            </a:graphic>
          </wp:inline>
        </w:drawing>
      </w:r>
    </w:p>
    <w:p>
      <w:pPr>
        <w:pStyle w:val="3"/>
        <w:ind w:firstLine="525"/>
        <w:rPr>
          <w:lang w:val="en-US"/>
        </w:rPr>
      </w:pPr>
      <w:r>
        <w:rPr>
          <w:lang w:val="en-US"/>
        </w:rPr>
        <w:drawing>
          <wp:inline distT="0" distB="0" distL="0" distR="0">
            <wp:extent cx="1704975" cy="457200"/>
            <wp:effectExtent l="0" t="0" r="9525" b="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57"/>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58"/>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59"/>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60"/>
                    <a:stretch>
                      <a:fillRect/>
                    </a:stretch>
                  </pic:blipFill>
                  <pic:spPr>
                    <a:xfrm>
                      <a:off x="0" y="0"/>
                      <a:ext cx="647700" cy="200025"/>
                    </a:xfrm>
                    <a:prstGeom prst="rect">
                      <a:avLst/>
                    </a:prstGeom>
                    <a:noFill/>
                    <a:ln>
                      <a:noFill/>
                    </a:ln>
                  </pic:spPr>
                </pic:pic>
              </a:graphicData>
            </a:graphic>
          </wp:inline>
        </w:drawing>
      </w:r>
    </w:p>
    <w:p>
      <w:pPr>
        <w:pStyle w:val="3"/>
        <w:numPr>
          <w:ilvl w:val="0"/>
          <w:numId w:val="6"/>
        </w:numPr>
        <w:rPr>
          <w:b/>
          <w:lang w:val="en-US"/>
        </w:rPr>
      </w:pPr>
      <w:r>
        <w:rPr>
          <w:rFonts w:hint="eastAsia"/>
          <w:b/>
          <w:lang w:val="en-US"/>
        </w:rPr>
        <w:t>算法说明</w:t>
      </w:r>
    </w:p>
    <w:p>
      <w:pPr>
        <w:pStyle w:val="3"/>
        <w:ind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1"/>
    </w:p>
    <w:p>
      <w:pPr>
        <w:pStyle w:val="4"/>
      </w:pPr>
      <w:bookmarkStart w:id="62" w:name="_Toc509844747"/>
      <w:bookmarkStart w:id="63" w:name="_Toc92121762"/>
      <w:r>
        <w:rPr>
          <w:rFonts w:hint="eastAsia"/>
        </w:rPr>
        <w:t>风速放大系数计算</w:t>
      </w:r>
      <w:bookmarkEnd w:id="62"/>
      <w:bookmarkEnd w:id="63"/>
    </w:p>
    <w:p>
      <w:pPr>
        <w:pStyle w:val="14"/>
        <w:ind w:left="143" w:firstLine="42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noWrap w:val="0"/>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noWrap w:val="0"/>
            <w:vAlign w:val="center"/>
          </w:tcPr>
          <w:p>
            <w:pPr>
              <w:jc w:val="right"/>
              <w:rPr>
                <w:lang w:val="en-US"/>
              </w:rPr>
            </w:pPr>
            <w:r>
              <w:rPr>
                <w:rFonts w:hint="eastAsia"/>
                <w:lang w:val="en-US"/>
              </w:rPr>
              <w:t>（</w:t>
            </w:r>
            <w:r>
              <w:rPr>
                <w:sz w:val="21"/>
                <w:szCs w:val="21"/>
                <w:lang w:val="en-US"/>
              </w:rPr>
              <w:fldChar w:fldCharType="begin"/>
            </w:r>
            <w:r>
              <w:rPr>
                <w:sz w:val="21"/>
                <w:szCs w:val="21"/>
                <w:lang w:val="en-US"/>
              </w:rPr>
              <w:instrText xml:space="preserve"> </w:instrText>
            </w:r>
            <w:r>
              <w:rPr>
                <w:rFonts w:hint="eastAsia"/>
                <w:sz w:val="21"/>
                <w:szCs w:val="21"/>
                <w:lang w:val="en-US"/>
              </w:rPr>
              <w:instrText xml:space="preserve">STYLEREF 2 \s</w:instrText>
            </w:r>
            <w:r>
              <w:rPr>
                <w:sz w:val="21"/>
                <w:szCs w:val="21"/>
                <w:lang w:val="en-US"/>
              </w:rPr>
              <w:instrText xml:space="preserve"> </w:instrText>
            </w:r>
            <w:r>
              <w:rPr>
                <w:sz w:val="21"/>
                <w:szCs w:val="21"/>
                <w:lang w:val="en-US"/>
              </w:rPr>
              <w:fldChar w:fldCharType="separate"/>
            </w:r>
            <w:r>
              <w:rPr>
                <w:sz w:val="21"/>
                <w:szCs w:val="21"/>
                <w:lang w:val="en-US"/>
              </w:rPr>
              <w:t>4.6</w:t>
            </w:r>
            <w:r>
              <w:rPr>
                <w:sz w:val="21"/>
                <w:szCs w:val="21"/>
                <w:lang w:val="en-US"/>
              </w:rPr>
              <w:fldChar w:fldCharType="end"/>
            </w:r>
            <w:r>
              <w:rPr>
                <w:sz w:val="21"/>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noWrap w:val="0"/>
          </w:tcPr>
          <w:p>
            <w:pPr>
              <w:rPr>
                <w:lang w:val="en-US"/>
              </w:rPr>
            </w:pPr>
          </w:p>
        </w:tc>
        <w:tc>
          <w:tcPr>
            <w:tcW w:w="1832" w:type="dxa"/>
            <w:noWrap w:val="0"/>
            <w:vAlign w:val="center"/>
          </w:tcPr>
          <w:p>
            <w:pPr>
              <w:jc w:val="right"/>
              <w:rPr>
                <w:lang w:val="en-US"/>
              </w:rPr>
            </w:pPr>
            <w:r>
              <w:rPr>
                <w:rFonts w:hint="eastAsia"/>
                <w:lang w:val="en-US"/>
              </w:rPr>
              <w:t>（</w:t>
            </w:r>
            <w:r>
              <w:rPr>
                <w:sz w:val="21"/>
                <w:szCs w:val="21"/>
                <w:lang w:val="en-US"/>
              </w:rPr>
              <w:fldChar w:fldCharType="begin"/>
            </w:r>
            <w:r>
              <w:rPr>
                <w:sz w:val="21"/>
                <w:szCs w:val="21"/>
                <w:lang w:val="en-US"/>
              </w:rPr>
              <w:instrText xml:space="preserve"> </w:instrText>
            </w:r>
            <w:r>
              <w:rPr>
                <w:rFonts w:hint="eastAsia"/>
                <w:sz w:val="21"/>
                <w:szCs w:val="21"/>
                <w:lang w:val="en-US"/>
              </w:rPr>
              <w:instrText xml:space="preserve">STYLEREF 2 \s</w:instrText>
            </w:r>
            <w:r>
              <w:rPr>
                <w:sz w:val="21"/>
                <w:szCs w:val="21"/>
                <w:lang w:val="en-US"/>
              </w:rPr>
              <w:instrText xml:space="preserve"> </w:instrText>
            </w:r>
            <w:r>
              <w:rPr>
                <w:sz w:val="21"/>
                <w:szCs w:val="21"/>
                <w:lang w:val="en-US"/>
              </w:rPr>
              <w:fldChar w:fldCharType="separate"/>
            </w:r>
            <w:r>
              <w:rPr>
                <w:sz w:val="21"/>
                <w:szCs w:val="21"/>
                <w:lang w:val="en-US"/>
              </w:rPr>
              <w:t>4.6</w:t>
            </w:r>
            <w:r>
              <w:rPr>
                <w:sz w:val="21"/>
                <w:szCs w:val="21"/>
                <w:lang w:val="en-US"/>
              </w:rPr>
              <w:fldChar w:fldCharType="end"/>
            </w:r>
            <w:r>
              <w:rPr>
                <w:sz w:val="21"/>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3pt;width:12.8pt;" o:ole="t" filled="f" stroked="f" coordsize="21600,21600">
            <v:path/>
            <v:fill on="f" focussize="0,0"/>
            <v:stroke on="f"/>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stroked="f" coordsize="21600,21600">
            <v:path/>
            <v:fill on="f" focussize="0,0"/>
            <v:stroke on="f"/>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3pt;width:24pt;" o:ole="t" filled="f" stroked="f" coordsize="21600,21600">
            <v:path/>
            <v:fill on="f" focussize="0,0"/>
            <v:stroke on="f"/>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3pt;width:20.3pt;" o:ole="t" filled="f" stroked="f" coordsize="21600,21600">
            <v:path/>
            <v:fill on="f" focussize="0,0"/>
            <v:stroke on="f"/>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64" w:name="地面粗糙度指数"/>
      <w:r>
        <w:rPr>
          <w:rFonts w:hint="eastAsia"/>
          <w:lang w:val="en-US"/>
        </w:rPr>
        <w:t>0.28</w:t>
      </w:r>
      <w:bookmarkEnd w:id="64"/>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linePitch="360" w:charSpace="0"/>
        </w:sectPr>
      </w:pPr>
    </w:p>
    <w:p>
      <w:pPr>
        <w:pStyle w:val="2"/>
      </w:pPr>
      <w:bookmarkStart w:id="65" w:name="_Toc92121763"/>
      <w:bookmarkStart w:id="66" w:name="_Toc452108768"/>
      <w:r>
        <w:rPr>
          <w:rFonts w:hint="eastAsia"/>
        </w:rPr>
        <w:t>结果</w:t>
      </w:r>
      <w:r>
        <w:t>分析</w:t>
      </w:r>
      <w:bookmarkEnd w:id="65"/>
      <w:bookmarkEnd w:id="66"/>
    </w:p>
    <w:p>
      <w:pPr>
        <w:pStyle w:val="4"/>
        <w:rPr>
          <w:sz w:val="21"/>
          <w:szCs w:val="21"/>
        </w:rPr>
      </w:pPr>
      <w:bookmarkStart w:id="67" w:name="_Toc92121764"/>
      <w:r>
        <w:rPr>
          <w:rFonts w:hint="eastAsia"/>
          <w:sz w:val="21"/>
          <w:szCs w:val="21"/>
        </w:rPr>
        <w:t>工况</w:t>
      </w:r>
      <w:r>
        <w:rPr>
          <w:sz w:val="21"/>
          <w:szCs w:val="21"/>
        </w:rPr>
        <w:t>表</w:t>
      </w:r>
      <w:bookmarkEnd w:id="67"/>
    </w:p>
    <w:p>
      <w:pPr>
        <w:rPr>
          <w:sz w:val="21"/>
          <w:szCs w:val="21"/>
        </w:rPr>
      </w:pPr>
      <w:r>
        <w:rPr>
          <w:rFonts w:hint="eastAsia"/>
          <w:sz w:val="21"/>
          <w:szCs w:val="21"/>
        </w:rPr>
        <w:t>本结果基于以下几个工况进行计算：</w:t>
      </w:r>
    </w:p>
    <w:tbl>
      <w:tblPr>
        <w:tblStyle w:val="3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E6E6E6" w:fill="E6E6E6"/>
            <w:noWrap w:val="0"/>
          </w:tcPr>
          <w:p>
            <w:pPr>
              <w:jc w:val="center"/>
              <w:rPr>
                <w:rFonts w:ascii="Calibri" w:hAnsi="Calibri"/>
                <w:sz w:val="21"/>
                <w:szCs w:val="21"/>
              </w:rPr>
            </w:pPr>
            <w:bookmarkStart w:id="68" w:name="计算工况表"/>
            <w:r>
              <w:rPr>
                <w:rFonts w:hint="eastAsia" w:ascii="Calibri" w:hAnsi="Calibri"/>
                <w:sz w:val="21"/>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E6E6E6" w:fill="E6E6E6"/>
            <w:noWrap w:val="0"/>
            <w:vAlign w:val="center"/>
          </w:tcPr>
          <w:p>
            <w:pPr>
              <w:jc w:val="center"/>
              <w:rPr>
                <w:rFonts w:ascii="Calibri" w:hAnsi="Calibri"/>
                <w:sz w:val="21"/>
                <w:szCs w:val="21"/>
              </w:rPr>
            </w:pPr>
            <w:r>
              <w:rPr>
                <w:rFonts w:hint="eastAsia" w:ascii="Calibri" w:hAnsi="Calibri"/>
                <w:sz w:val="21"/>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E6E6E6" w:fill="E6E6E6"/>
            <w:noWrap w:val="0"/>
            <w:vAlign w:val="center"/>
          </w:tcPr>
          <w:p>
            <w:pPr>
              <w:jc w:val="center"/>
              <w:rPr>
                <w:rFonts w:ascii="Calibri" w:hAnsi="Calibri"/>
                <w:sz w:val="21"/>
                <w:szCs w:val="21"/>
              </w:rPr>
            </w:pPr>
            <w:r>
              <w:rPr>
                <w:rFonts w:hint="eastAsia" w:ascii="Calibri" w:hAnsi="Calibri"/>
                <w:sz w:val="21"/>
                <w:szCs w:val="21"/>
              </w:rPr>
              <w:t>风速</w:t>
            </w:r>
            <w:r>
              <w:rPr>
                <w:rFonts w:ascii="Calibri" w:hAnsi="Calibri"/>
                <w:sz w:val="21"/>
                <w:szCs w:val="21"/>
              </w:rPr>
              <w:t>(m/s)</w:t>
            </w:r>
          </w:p>
        </w:tc>
        <w:tc>
          <w:tcPr>
            <w:tcW w:w="994" w:type="pct"/>
            <w:tcBorders>
              <w:top w:val="single" w:color="auto" w:sz="12" w:space="0"/>
              <w:left w:val="single" w:color="auto" w:sz="4" w:space="0"/>
              <w:bottom w:val="single" w:color="auto" w:sz="4" w:space="0"/>
              <w:right w:val="single" w:color="auto" w:sz="4" w:space="0"/>
            </w:tcBorders>
            <w:shd w:val="clear" w:color="E6E6E6" w:fill="E6E6E6"/>
            <w:noWrap w:val="0"/>
          </w:tcPr>
          <w:p>
            <w:pPr>
              <w:jc w:val="center"/>
              <w:rPr>
                <w:rFonts w:ascii="Calibri" w:hAnsi="Calibri"/>
                <w:sz w:val="21"/>
                <w:szCs w:val="21"/>
              </w:rPr>
            </w:pPr>
            <w:r>
              <w:rPr>
                <w:rFonts w:hint="eastAsia" w:ascii="Calibri" w:hAnsi="Calibri"/>
                <w:sz w:val="21"/>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E6E6E6" w:fill="E6E6E6"/>
            <w:noWrap w:val="0"/>
          </w:tcPr>
          <w:p>
            <w:pPr>
              <w:jc w:val="center"/>
              <w:rPr>
                <w:rFonts w:ascii="Calibri" w:hAnsi="Calibri"/>
                <w:sz w:val="21"/>
                <w:szCs w:val="21"/>
              </w:rPr>
            </w:pPr>
            <w:r>
              <w:rPr>
                <w:rFonts w:hint="eastAsia" w:ascii="Calibri" w:hAnsi="Calibri"/>
                <w:sz w:val="21"/>
                <w:szCs w:val="21"/>
              </w:rPr>
              <w:t>风向（°</w:t>
            </w:r>
            <w:r>
              <w:rPr>
                <w:rFonts w:ascii="Calibri" w:hAnsi="Calibri"/>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noWrap w:val="0"/>
          </w:tcPr>
          <w:p>
            <w:pPr>
              <w:rPr>
                <w:rFonts w:ascii="Calibri" w:hAnsi="Calibri"/>
                <w:sz w:val="21"/>
                <w:szCs w:val="21"/>
              </w:rPr>
            </w:pPr>
            <w:r>
              <w:rPr>
                <w:rFonts w:ascii="Calibri" w:hAnsi="Calibri"/>
                <w:sz w:val="21"/>
                <w:szCs w:val="21"/>
              </w:rPr>
              <w:t>1</w:t>
            </w:r>
          </w:p>
        </w:tc>
        <w:tc>
          <w:tcPr>
            <w:tcW w:w="1166" w:type="pct"/>
            <w:tcBorders>
              <w:top w:val="single" w:color="auto" w:sz="4" w:space="0"/>
              <w:left w:val="single" w:color="auto" w:sz="4" w:space="0"/>
              <w:bottom w:val="single" w:color="auto" w:sz="4" w:space="0"/>
              <w:right w:val="single" w:color="auto" w:sz="4" w:space="0"/>
            </w:tcBorders>
            <w:noWrap w:val="0"/>
            <w:vAlign w:val="center"/>
          </w:tcPr>
          <w:p>
            <w:pPr>
              <w:rPr>
                <w:rFonts w:ascii="Calibri" w:hAnsi="Calibri"/>
                <w:sz w:val="21"/>
                <w:szCs w:val="21"/>
              </w:rPr>
            </w:pPr>
            <w:r>
              <w:rPr>
                <w:rFonts w:ascii="Calibri" w:hAnsi="Calibri"/>
                <w:sz w:val="21"/>
                <w:szCs w:val="21"/>
              </w:rPr>
              <w:t>冬季</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rPr>
                <w:rFonts w:ascii="Calibri" w:hAnsi="Calibri"/>
                <w:sz w:val="21"/>
                <w:szCs w:val="21"/>
              </w:rPr>
            </w:pPr>
            <w:r>
              <w:rPr>
                <w:rFonts w:ascii="Calibri" w:hAnsi="Calibri"/>
                <w:sz w:val="21"/>
                <w:szCs w:val="21"/>
              </w:rPr>
              <w:t>1.00</w:t>
            </w:r>
          </w:p>
        </w:tc>
        <w:tc>
          <w:tcPr>
            <w:tcW w:w="994" w:type="pct"/>
            <w:tcBorders>
              <w:top w:val="single" w:color="auto" w:sz="4" w:space="0"/>
              <w:left w:val="single" w:color="auto" w:sz="4" w:space="0"/>
              <w:bottom w:val="single" w:color="auto" w:sz="4" w:space="0"/>
              <w:right w:val="single" w:color="auto" w:sz="4" w:space="0"/>
            </w:tcBorders>
            <w:noWrap w:val="0"/>
          </w:tcPr>
          <w:p>
            <w:pPr>
              <w:rPr>
                <w:rFonts w:ascii="Calibri" w:hAnsi="Calibri"/>
                <w:sz w:val="21"/>
                <w:szCs w:val="21"/>
              </w:rPr>
            </w:pPr>
            <w:r>
              <w:rPr>
                <w:rFonts w:ascii="Calibri" w:hAnsi="Calibri"/>
                <w:sz w:val="21"/>
                <w:szCs w:val="21"/>
              </w:rPr>
              <w:t>E</w:t>
            </w:r>
          </w:p>
        </w:tc>
        <w:tc>
          <w:tcPr>
            <w:tcW w:w="994" w:type="pct"/>
            <w:tcBorders>
              <w:top w:val="single" w:color="auto" w:sz="4" w:space="0"/>
              <w:left w:val="single" w:color="auto" w:sz="4" w:space="0"/>
              <w:bottom w:val="single" w:color="auto" w:sz="4" w:space="0"/>
              <w:right w:val="single" w:color="auto" w:sz="12" w:space="0"/>
            </w:tcBorders>
            <w:noWrap w:val="0"/>
          </w:tcPr>
          <w:p>
            <w:pPr>
              <w:rPr>
                <w:rFonts w:ascii="Calibri" w:hAnsi="Calibri"/>
                <w:sz w:val="21"/>
                <w:szCs w:val="21"/>
              </w:rPr>
            </w:pPr>
            <w:r>
              <w:rPr>
                <w:rFonts w:ascii="Calibri" w:hAnsi="Calibri"/>
                <w:sz w:val="21"/>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noWrap w:val="0"/>
          </w:tcPr>
          <w:p>
            <w:pPr>
              <w:rPr>
                <w:rFonts w:ascii="Calibri" w:hAnsi="Calibri"/>
                <w:sz w:val="21"/>
                <w:szCs w:val="21"/>
              </w:rPr>
            </w:pPr>
            <w:r>
              <w:rPr>
                <w:rFonts w:ascii="Calibri" w:hAnsi="Calibri"/>
                <w:sz w:val="21"/>
                <w:szCs w:val="21"/>
              </w:rPr>
              <w:t>2</w:t>
            </w:r>
          </w:p>
        </w:tc>
        <w:tc>
          <w:tcPr>
            <w:tcW w:w="1166" w:type="pct"/>
            <w:tcBorders>
              <w:top w:val="single" w:color="auto" w:sz="4" w:space="0"/>
              <w:left w:val="single" w:color="auto" w:sz="4" w:space="0"/>
              <w:bottom w:val="single" w:color="auto" w:sz="12" w:space="0"/>
              <w:right w:val="single" w:color="auto" w:sz="4" w:space="0"/>
            </w:tcBorders>
            <w:noWrap w:val="0"/>
            <w:vAlign w:val="center"/>
          </w:tcPr>
          <w:p>
            <w:pPr>
              <w:rPr>
                <w:rFonts w:ascii="Calibri" w:hAnsi="Calibri"/>
                <w:sz w:val="21"/>
                <w:szCs w:val="21"/>
              </w:rPr>
            </w:pPr>
            <w:r>
              <w:rPr>
                <w:rFonts w:ascii="Calibri" w:hAnsi="Calibri"/>
                <w:sz w:val="21"/>
                <w:szCs w:val="21"/>
              </w:rPr>
              <w:t>夏季</w:t>
            </w:r>
          </w:p>
        </w:tc>
        <w:tc>
          <w:tcPr>
            <w:tcW w:w="1187" w:type="pct"/>
            <w:tcBorders>
              <w:top w:val="single" w:color="auto" w:sz="4" w:space="0"/>
              <w:left w:val="single" w:color="auto" w:sz="4" w:space="0"/>
              <w:bottom w:val="single" w:color="auto" w:sz="12" w:space="0"/>
              <w:right w:val="single" w:color="auto" w:sz="4" w:space="0"/>
            </w:tcBorders>
            <w:noWrap w:val="0"/>
            <w:vAlign w:val="center"/>
          </w:tcPr>
          <w:p>
            <w:pPr>
              <w:rPr>
                <w:rFonts w:ascii="Calibri" w:hAnsi="Calibri"/>
                <w:sz w:val="21"/>
                <w:szCs w:val="21"/>
              </w:rPr>
            </w:pPr>
            <w:r>
              <w:rPr>
                <w:rFonts w:ascii="Calibri" w:hAnsi="Calibri"/>
                <w:sz w:val="21"/>
                <w:szCs w:val="21"/>
              </w:rPr>
              <w:t>3.00</w:t>
            </w:r>
          </w:p>
        </w:tc>
        <w:tc>
          <w:tcPr>
            <w:tcW w:w="994" w:type="pct"/>
            <w:tcBorders>
              <w:top w:val="single" w:color="auto" w:sz="4" w:space="0"/>
              <w:left w:val="single" w:color="auto" w:sz="4" w:space="0"/>
              <w:bottom w:val="single" w:color="auto" w:sz="12" w:space="0"/>
              <w:right w:val="single" w:color="auto" w:sz="4" w:space="0"/>
            </w:tcBorders>
            <w:noWrap w:val="0"/>
          </w:tcPr>
          <w:p>
            <w:pPr>
              <w:rPr>
                <w:rFonts w:ascii="Calibri" w:hAnsi="Calibri"/>
                <w:sz w:val="21"/>
                <w:szCs w:val="21"/>
              </w:rPr>
            </w:pPr>
            <w:r>
              <w:rPr>
                <w:rFonts w:ascii="Calibri" w:hAnsi="Calibri"/>
                <w:sz w:val="21"/>
                <w:szCs w:val="21"/>
              </w:rPr>
              <w:t>SSW</w:t>
            </w:r>
          </w:p>
        </w:tc>
        <w:tc>
          <w:tcPr>
            <w:tcW w:w="994" w:type="pct"/>
            <w:tcBorders>
              <w:top w:val="single" w:color="auto" w:sz="4" w:space="0"/>
              <w:left w:val="single" w:color="auto" w:sz="4" w:space="0"/>
              <w:bottom w:val="single" w:color="auto" w:sz="12" w:space="0"/>
              <w:right w:val="single" w:color="auto" w:sz="12" w:space="0"/>
            </w:tcBorders>
            <w:noWrap w:val="0"/>
          </w:tcPr>
          <w:p>
            <w:pPr>
              <w:rPr>
                <w:rFonts w:ascii="Calibri" w:hAnsi="Calibri"/>
                <w:sz w:val="21"/>
                <w:szCs w:val="21"/>
              </w:rPr>
            </w:pPr>
            <w:r>
              <w:rPr>
                <w:rFonts w:ascii="Calibri" w:hAnsi="Calibri"/>
                <w:sz w:val="21"/>
                <w:szCs w:val="21"/>
              </w:rPr>
              <w:t>247.5</w:t>
            </w:r>
            <w:bookmarkEnd w:id="68"/>
          </w:p>
        </w:tc>
      </w:tr>
    </w:tbl>
    <w:p>
      <w:pPr>
        <w:rPr>
          <w:sz w:val="21"/>
          <w:szCs w:val="21"/>
        </w:rPr>
      </w:pPr>
      <w:r>
        <w:rPr>
          <w:rFonts w:hint="eastAsia"/>
          <w:sz w:val="21"/>
          <w:szCs w:val="21"/>
        </w:rPr>
        <w:t>说明：风向逆时针为正，正东为0°，正北为90°，正西为180°，正南为270°。风向字母意义</w:t>
      </w:r>
      <w:r>
        <w:rPr>
          <w:sz w:val="21"/>
          <w:szCs w:val="21"/>
        </w:rPr>
        <w:t>如下图所示</w:t>
      </w:r>
      <w:r>
        <w:rPr>
          <w:rFonts w:hint="eastAsia"/>
          <w:sz w:val="21"/>
          <w:szCs w:val="21"/>
        </w:rPr>
        <w:t>：</w:t>
      </w:r>
    </w:p>
    <w:p>
      <w:pPr>
        <w:jc w:val="center"/>
        <w:rPr>
          <w:sz w:val="21"/>
          <w:szCs w:val="21"/>
        </w:rPr>
      </w:pPr>
      <w:r>
        <w:rPr>
          <w:lang w:val="en-US"/>
        </w:rPr>
        <w:drawing>
          <wp:inline distT="0" distB="0" distL="0" distR="0">
            <wp:extent cx="2735580" cy="2649220"/>
            <wp:effectExtent l="0" t="0" r="762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9" w:name="_Toc92121765"/>
      <w:bookmarkStart w:id="70" w:name="_Toc509844750"/>
      <w:r>
        <w:rPr>
          <w:rFonts w:hint="eastAsia"/>
        </w:rPr>
        <w:t>冬季工况</w:t>
      </w:r>
      <w:bookmarkEnd w:id="69"/>
      <w:bookmarkEnd w:id="70"/>
    </w:p>
    <w:p>
      <w:pPr>
        <w:ind w:firstLine="420"/>
        <w:jc w:val="both"/>
      </w:pPr>
      <w:r>
        <w:rPr>
          <w:rFonts w:hint="eastAsia"/>
          <w:lang w:val="en-US"/>
        </w:rPr>
        <w:t>本项目冬季工况的入口边界风速为</w:t>
      </w:r>
      <w:bookmarkStart w:id="71" w:name="冬季入口边界风速"/>
      <w:r>
        <w:rPr>
          <w:rFonts w:hint="eastAsia" w:ascii="Calibri" w:hAnsi="Calibri"/>
          <w:sz w:val="21"/>
          <w:szCs w:val="21"/>
        </w:rPr>
        <w:t>1.00</w:t>
      </w:r>
      <w:bookmarkEnd w:id="71"/>
      <w:r>
        <w:rPr>
          <w:rFonts w:ascii="Calibri" w:hAnsi="Calibri"/>
          <w:sz w:val="21"/>
          <w:szCs w:val="21"/>
        </w:rPr>
        <w:t>m/s</w:t>
      </w:r>
      <w:r>
        <w:rPr>
          <w:rFonts w:hint="eastAsia" w:ascii="Calibri" w:hAnsi="Calibri"/>
          <w:sz w:val="21"/>
          <w:szCs w:val="21"/>
        </w:rPr>
        <w:t>，风向为</w:t>
      </w:r>
      <w:bookmarkStart w:id="72" w:name="冬季入口边界风向"/>
      <w:r>
        <w:rPr>
          <w:sz w:val="21"/>
          <w:szCs w:val="21"/>
        </w:rPr>
        <w:t>E</w:t>
      </w:r>
      <w:bookmarkEnd w:id="72"/>
      <w:r>
        <w:rPr>
          <w:rFonts w:hint="eastAsia"/>
          <w:sz w:val="21"/>
          <w:szCs w:val="21"/>
        </w:rPr>
        <w:t>。</w:t>
      </w:r>
    </w:p>
    <w:p>
      <w:pPr>
        <w:pStyle w:val="5"/>
      </w:pPr>
      <w:bookmarkStart w:id="73" w:name="_Toc509844751"/>
      <w:bookmarkStart w:id="74" w:name="_Toc92121766"/>
      <w:r>
        <w:rPr>
          <w:rFonts w:hint="eastAsia"/>
        </w:rPr>
        <w:t>风速达标分析</w:t>
      </w:r>
      <w:bookmarkEnd w:id="73"/>
      <w:bookmarkEnd w:id="74"/>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bookmarkStart w:id="75" w:name="冬季工况风速分析结论"/>
      <w:bookmarkEnd w:id="75"/>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jc w:val="center"/>
        <w:rPr>
          <w:rFonts w:ascii="Calibri Light" w:hAnsi="Calibri Light" w:eastAsia="黑体"/>
          <w:sz w:val="20"/>
          <w:szCs w:val="20"/>
        </w:rPr>
      </w:pPr>
      <w:bookmarkStart w:id="76" w:name="冬季工况风速云图"/>
      <w:bookmarkEnd w:id="76"/>
      <w:r>
        <w:drawing>
          <wp:inline distT="0" distB="0" distL="0" distR="0">
            <wp:extent cx="5667375" cy="3486150"/>
            <wp:effectExtent l="0" t="0" r="0" b="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70"/>
                    <a:stretch>
                      <a:fillRect/>
                    </a:stretch>
                  </pic:blipFill>
                  <pic:spPr>
                    <a:xfrm>
                      <a:off x="0" y="0"/>
                      <a:ext cx="5667375" cy="3486150"/>
                    </a:xfrm>
                    <a:prstGeom prst="rect">
                      <a:avLst/>
                    </a:prstGeom>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77" w:name="_Toc92121767"/>
      <w:bookmarkStart w:id="78" w:name="_Toc509844752"/>
      <w:r>
        <w:rPr>
          <w:rFonts w:hint="eastAsia"/>
        </w:rPr>
        <w:t>风速放大系数达标分析</w:t>
      </w:r>
      <w:bookmarkEnd w:id="77"/>
      <w:bookmarkEnd w:id="78"/>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bookmarkStart w:id="79" w:name="冬季工况风速放大系数分析结论"/>
      <w:bookmarkEnd w:id="79"/>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pPr>
        <w:pStyle w:val="14"/>
        <w:jc w:val="center"/>
        <w:rPr>
          <w:lang w:val="en-US"/>
        </w:rPr>
      </w:pPr>
      <w:bookmarkStart w:id="80" w:name="冬季工况风速放大系数云图"/>
      <w:bookmarkEnd w:id="80"/>
      <w:r>
        <w:drawing>
          <wp:inline distT="0" distB="0" distL="0" distR="0">
            <wp:extent cx="5667375" cy="3476625"/>
            <wp:effectExtent l="0" t="0" r="0" b="0"/>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71"/>
                    <a:stretch>
                      <a:fillRect/>
                    </a:stretch>
                  </pic:blipFill>
                  <pic:spPr>
                    <a:xfrm>
                      <a:off x="0" y="0"/>
                      <a:ext cx="5667375" cy="3476625"/>
                    </a:xfrm>
                    <a:prstGeom prst="rect">
                      <a:avLst/>
                    </a:prstGeom>
                  </pic:spPr>
                </pic:pic>
              </a:graphicData>
            </a:graphic>
          </wp:inline>
        </w:drawing>
      </w:r>
    </w:p>
    <w:p>
      <w:pPr>
        <w:pStyle w:val="14"/>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 w:val="20"/>
          <w:szCs w:val="20"/>
          <w:lang w:val="en-US"/>
        </w:rPr>
      </w:pPr>
      <w:r>
        <w:rPr>
          <w:rFonts w:hint="eastAsia" w:ascii="黑体" w:hAnsi="黑体" w:eastAsia="黑体"/>
          <w:sz w:val="20"/>
          <w:szCs w:val="20"/>
          <w:lang w:val="en-US"/>
        </w:rPr>
        <w:t>注：</w:t>
      </w:r>
    </w:p>
    <w:p>
      <w:pPr>
        <w:pStyle w:val="3"/>
        <w:ind w:firstLine="420"/>
        <w:rPr>
          <w:rFonts w:ascii="黑体" w:hAnsi="黑体" w:eastAsia="黑体"/>
          <w:sz w:val="20"/>
          <w:szCs w:val="20"/>
          <w:lang w:val="en-US"/>
        </w:rPr>
      </w:pPr>
      <w:r>
        <w:rPr>
          <w:rFonts w:hint="eastAsia" w:ascii="黑体" w:hAnsi="黑体" w:eastAsia="黑体"/>
          <w:sz w:val="20"/>
          <w:szCs w:val="20"/>
          <w:lang w:val="en-US"/>
        </w:rPr>
        <w:t>1）户外活动主要场地包括人行道、广场、游憩场、停车场以及庭院，本项目中均定义为人行区。</w:t>
      </w:r>
    </w:p>
    <w:p>
      <w:pPr>
        <w:pStyle w:val="3"/>
        <w:ind w:firstLine="420"/>
        <w:rPr>
          <w:rFonts w:ascii="黑体" w:hAnsi="黑体" w:eastAsia="黑体"/>
          <w:sz w:val="20"/>
          <w:szCs w:val="20"/>
          <w:lang w:val="en-US"/>
        </w:rPr>
      </w:pPr>
      <w:r>
        <w:rPr>
          <w:rFonts w:hint="eastAsia" w:ascii="黑体" w:hAnsi="黑体" w:eastAsia="黑体"/>
          <w:sz w:val="20"/>
          <w:szCs w:val="20"/>
          <w:lang w:val="en-US"/>
        </w:rPr>
        <w:t>2）人行区和计算域内风速分布云图中图例上限均为计算域内实际风速最大值，图例上限也可按需求在软件中调整。</w:t>
      </w:r>
    </w:p>
    <w:p>
      <w:pPr>
        <w:ind w:firstLine="42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81" w:name="_Toc509844753"/>
      <w:bookmarkStart w:id="82" w:name="_Toc92121768"/>
      <w:r>
        <w:rPr>
          <w:rFonts w:hint="eastAsia" w:cs="宋体"/>
          <w:lang w:val="en-GB"/>
        </w:rPr>
        <w:t>人行区域</w:t>
      </w:r>
      <w:r>
        <w:rPr>
          <w:rFonts w:hint="eastAsia"/>
        </w:rPr>
        <w:t>冬季工况风速/风速放大系数达标判定</w:t>
      </w:r>
      <w:bookmarkEnd w:id="81"/>
      <w:bookmarkEnd w:id="82"/>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3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 w:val="21"/>
                <w:szCs w:val="21"/>
              </w:rPr>
            </w:pPr>
            <w:r>
              <w:rPr>
                <w:rFonts w:hint="eastAsia" w:ascii="宋体" w:hAnsi="宋体" w:cs="宋体"/>
                <w:sz w:val="21"/>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 w:val="21"/>
                <w:szCs w:val="21"/>
              </w:rPr>
            </w:pPr>
            <w:r>
              <w:rPr>
                <w:rFonts w:ascii="宋体" w:hAnsi="宋体" w:cs="宋体"/>
                <w:sz w:val="21"/>
                <w:szCs w:val="21"/>
              </w:rPr>
              <w:t xml:space="preserve">&lt;5m/s </w:t>
            </w:r>
            <w:bookmarkStart w:id="83" w:name="冬季工况风速要求2019"/>
            <w:r>
              <w:rPr>
                <w:rFonts w:hint="eastAsia" w:ascii="宋体" w:hAnsi="宋体" w:cs="宋体"/>
                <w:sz w:val="21"/>
                <w:szCs w:val="21"/>
              </w:rPr>
              <w:t xml:space="preserve">或 </w:t>
            </w:r>
            <w:r>
              <w:rPr>
                <w:rFonts w:ascii="宋体" w:hAnsi="宋体" w:cs="宋体"/>
                <w:sz w:val="21"/>
                <w:szCs w:val="21"/>
              </w:rPr>
              <w:t>&lt;2m/s</w:t>
            </w:r>
            <w:bookmarkEnd w:id="83"/>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4" w:name="冬季工况风速是否有超限区域"/>
            <w:r>
              <w:rPr>
                <w:rFonts w:hint="eastAsia" w:ascii="宋体" w:hAnsi="宋体" w:cs="宋体"/>
                <w:color w:val="000000"/>
                <w:sz w:val="22"/>
                <w:szCs w:val="22"/>
                <w:lang w:val="en-US"/>
              </w:rPr>
              <w:t>否</w:t>
            </w:r>
            <w:bookmarkEnd w:id="84"/>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5" w:name="冬季工况风速达标判断"/>
            <w:r>
              <w:rPr>
                <w:rFonts w:hint="eastAsia" w:ascii="宋体" w:hAnsi="宋体" w:cs="宋体"/>
                <w:color w:val="000000"/>
                <w:sz w:val="22"/>
                <w:szCs w:val="22"/>
                <w:lang w:val="en-US"/>
              </w:rPr>
              <w:t>是</w:t>
            </w:r>
            <w:bookmarkEnd w:id="85"/>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 w:val="21"/>
                <w:szCs w:val="21"/>
              </w:rPr>
            </w:pPr>
            <w:r>
              <w:rPr>
                <w:rFonts w:hint="eastAsia" w:ascii="宋体" w:hAnsi="宋体" w:cs="宋体"/>
                <w:sz w:val="21"/>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 w:val="21"/>
                <w:szCs w:val="21"/>
              </w:rPr>
            </w:pPr>
            <w:r>
              <w:rPr>
                <w:rFonts w:ascii="宋体" w:hAnsi="宋体" w:cs="宋体"/>
                <w:sz w:val="21"/>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6" w:name="冬季工况风速放大系数是否有超限区域"/>
            <w:r>
              <w:rPr>
                <w:rFonts w:hint="eastAsia" w:ascii="宋体" w:hAnsi="宋体" w:cs="宋体"/>
                <w:color w:val="000000"/>
                <w:sz w:val="22"/>
                <w:szCs w:val="22"/>
                <w:lang w:val="en-US"/>
              </w:rPr>
              <w:t>否</w:t>
            </w:r>
            <w:bookmarkEnd w:id="8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7" w:name="冬季工况风速放大系数达标判断"/>
            <w:r>
              <w:rPr>
                <w:rFonts w:hint="eastAsia" w:ascii="宋体" w:hAnsi="宋体" w:cs="宋体"/>
                <w:color w:val="000000"/>
                <w:sz w:val="22"/>
                <w:szCs w:val="22"/>
                <w:lang w:val="en-US"/>
              </w:rPr>
              <w:t>是</w:t>
            </w:r>
            <w:bookmarkEnd w:id="87"/>
          </w:p>
        </w:tc>
      </w:tr>
    </w:tbl>
    <w:p>
      <w:pPr>
        <w:pStyle w:val="5"/>
      </w:pPr>
      <w:bookmarkStart w:id="88" w:name="_Toc509844756"/>
      <w:bookmarkEnd w:id="88"/>
      <w:bookmarkStart w:id="89" w:name="_Toc509844754"/>
      <w:bookmarkEnd w:id="89"/>
      <w:bookmarkStart w:id="90" w:name="_Toc509844757"/>
      <w:bookmarkEnd w:id="90"/>
      <w:bookmarkStart w:id="91" w:name="_Toc509844755"/>
      <w:bookmarkEnd w:id="91"/>
      <w:bookmarkStart w:id="92" w:name="_Toc92121769"/>
      <w:bookmarkStart w:id="93" w:name="_Toc509844758"/>
      <w:r>
        <w:rPr>
          <w:rFonts w:hint="eastAsia"/>
        </w:rPr>
        <w:t>建筑迎风面和背风面风压分析</w:t>
      </w:r>
      <w:bookmarkEnd w:id="92"/>
      <w:bookmarkEnd w:id="93"/>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jc w:val="center"/>
        <w:rPr>
          <w:lang w:val="en-US"/>
        </w:rPr>
      </w:pPr>
      <w:r>
        <w:rPr>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72"/>
                    <a:srcRect r="2290"/>
                    <a:stretch>
                      <a:fillRect/>
                    </a:stretch>
                  </pic:blipFill>
                  <pic:spPr>
                    <a:xfrm>
                      <a:off x="0" y="0"/>
                      <a:ext cx="3657600" cy="2924175"/>
                    </a:xfrm>
                    <a:prstGeom prst="rect">
                      <a:avLst/>
                    </a:prstGeom>
                    <a:noFill/>
                    <a:ln>
                      <a:noFill/>
                    </a:ln>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3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noWrap w:val="0"/>
          </w:tcPr>
          <w:p>
            <w:pPr>
              <w:pStyle w:val="3"/>
              <w:ind w:firstLine="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3</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noWrap w:val="0"/>
            <w:vAlign w:val="center"/>
          </w:tcPr>
          <w:p>
            <w:pPr>
              <w:pStyle w:val="3"/>
              <w:ind w:firstLine="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4"/>
        <w:jc w:val="center"/>
        <w:rPr>
          <w:lang w:val="en-US"/>
        </w:rPr>
      </w:pPr>
      <w:bookmarkStart w:id="94" w:name="冬季工况建筑迎风面风压云图"/>
      <w:bookmarkEnd w:id="94"/>
      <w:r>
        <w:drawing>
          <wp:inline distT="0" distB="0" distL="0" distR="0">
            <wp:extent cx="5667375" cy="3619500"/>
            <wp:effectExtent l="0" t="0" r="0" b="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73"/>
                    <a:stretch>
                      <a:fillRect/>
                    </a:stretch>
                  </pic:blipFill>
                  <pic:spPr>
                    <a:xfrm>
                      <a:off x="0" y="0"/>
                      <a:ext cx="5667375" cy="3619500"/>
                    </a:xfrm>
                    <a:prstGeom prst="rect">
                      <a:avLst/>
                    </a:prstGeom>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4"/>
        <w:jc w:val="center"/>
      </w:pPr>
      <w:bookmarkStart w:id="95" w:name="冬季工况建筑背风面风压云图"/>
      <w:bookmarkEnd w:id="95"/>
      <w:r>
        <w:drawing>
          <wp:inline distT="0" distB="0" distL="0" distR="0">
            <wp:extent cx="5667375" cy="3638550"/>
            <wp:effectExtent l="0" t="0" r="0" b="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74"/>
                    <a:stretch>
                      <a:fillRect/>
                    </a:stretch>
                  </pic:blipFill>
                  <pic:spPr>
                    <a:xfrm>
                      <a:off x="0" y="0"/>
                      <a:ext cx="5667375" cy="3638550"/>
                    </a:xfrm>
                    <a:prstGeom prst="rect">
                      <a:avLst/>
                    </a:prstGeom>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96"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97" w:name="建筑迎背风面风压差表_建筑名"/>
      <w:r>
        <w:rPr>
          <w:rFonts w:ascii="Cambria" w:hAnsi="Cambria" w:eastAsia="黑体"/>
          <w:sz w:val="20"/>
        </w:rPr>
        <w:t>DT单体(组01)</w:t>
      </w:r>
      <w:bookmarkEnd w:id="97"/>
      <w:r>
        <w:rPr>
          <w:rFonts w:hint="eastAsia" w:ascii="Cambria" w:hAnsi="Cambria" w:eastAsia="黑体"/>
          <w:sz w:val="20"/>
        </w:rPr>
        <w:t>迎背风面窗平均风压差表</w:t>
      </w:r>
    </w:p>
    <w:tbl>
      <w:tblPr>
        <w:tblStyle w:val="3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E6E6E6" w:fill="E6E6E6"/>
            <w:noWrap w:val="0"/>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E6E6E6" w:fill="E6E6E6"/>
            <w:noWrap w:val="0"/>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E6E6E6" w:fill="E6E6E6"/>
            <w:noWrap w:val="0"/>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E6E6E6" w:fill="E6E6E6"/>
            <w:noWrap w:val="0"/>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noWrap w:val="0"/>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4" w:space="0"/>
              <w:right w:val="single" w:color="auto" w:sz="12" w:space="0"/>
            </w:tcBorders>
            <w:noWrap w:val="0"/>
            <w:vAlign w:val="center"/>
          </w:tcPr>
          <w:p>
            <w:pPr>
              <w:spacing w:line="360" w:lineRule="exact"/>
              <w:jc w:val="center"/>
              <w:rPr>
                <w:lang w:val="en-US"/>
              </w:rPr>
            </w:pPr>
            <w:r>
              <w:rPr>
                <w:lang w:val="en-US"/>
              </w:rPr>
              <w:t>0.19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noWrap w:val="0"/>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noWrap w:val="0"/>
            <w:vAlign w:val="center"/>
          </w:tcPr>
          <w:p>
            <w:pPr>
              <w:spacing w:line="360" w:lineRule="exact"/>
              <w:jc w:val="center"/>
              <w:rPr>
                <w:lang w:val="en-US"/>
              </w:rPr>
            </w:pPr>
            <w:r>
              <w:rPr>
                <w:lang w:val="en-US"/>
              </w:rPr>
              <w:t>-0.02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noWrap w:val="0"/>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0.22</w:t>
            </w:r>
          </w:p>
        </w:tc>
        <w:tc>
          <w:tcPr>
            <w:tcW w:w="2693" w:type="dxa"/>
            <w:tcBorders>
              <w:top w:val="single" w:color="auto" w:sz="4" w:space="0"/>
              <w:left w:val="single" w:color="auto" w:sz="4" w:space="0"/>
              <w:bottom w:val="single" w:color="auto" w:sz="4" w:space="0"/>
              <w:right w:val="single" w:color="auto" w:sz="12" w:space="0"/>
            </w:tcBorders>
            <w:noWrap w:val="0"/>
            <w:vAlign w:val="center"/>
          </w:tcPr>
          <w:p>
            <w:pPr>
              <w:spacing w:line="360" w:lineRule="exact"/>
              <w:jc w:val="center"/>
              <w:rPr>
                <w:lang w:val="en-US"/>
              </w:rPr>
            </w:pPr>
            <w:r>
              <w:rPr>
                <w:lang w:val="en-US"/>
              </w:rPr>
              <w:t>-0.20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noWrap w:val="0"/>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noWrap w:val="0"/>
            <w:vAlign w:val="center"/>
          </w:tcPr>
          <w:p>
            <w:pPr>
              <w:spacing w:line="360" w:lineRule="exact"/>
              <w:jc w:val="center"/>
              <w:rPr>
                <w:lang w:val="en-US"/>
              </w:rPr>
            </w:pPr>
            <w:r>
              <w:rPr>
                <w:lang w:val="en-US"/>
              </w:rPr>
              <w:t>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noWrap w:val="0"/>
            <w:vAlign w:val="center"/>
          </w:tcPr>
          <w:p>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4" w:space="0"/>
              <w:right w:val="single" w:color="auto" w:sz="12" w:space="0"/>
            </w:tcBorders>
            <w:noWrap w:val="0"/>
            <w:vAlign w:val="center"/>
          </w:tcPr>
          <w:p>
            <w:pPr>
              <w:spacing w:line="360" w:lineRule="exact"/>
              <w:jc w:val="center"/>
              <w:rPr>
                <w:lang w:val="en-US"/>
              </w:rPr>
            </w:pPr>
            <w:r>
              <w:rPr>
                <w:lang w:val="en-US"/>
              </w:rP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noWrap w:val="0"/>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noWrap w:val="0"/>
            <w:vAlign w:val="center"/>
          </w:tcPr>
          <w:p>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12" w:space="0"/>
              <w:right w:val="single" w:color="auto" w:sz="4" w:space="0"/>
            </w:tcBorders>
            <w:noWrap w:val="0"/>
            <w:vAlign w:val="center"/>
          </w:tcPr>
          <w:p>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12" w:space="0"/>
              <w:right w:val="single" w:color="auto" w:sz="12" w:space="0"/>
            </w:tcBorders>
            <w:noWrap w:val="0"/>
            <w:vAlign w:val="center"/>
          </w:tcPr>
          <w:p>
            <w:pPr>
              <w:spacing w:line="360" w:lineRule="exact"/>
              <w:jc w:val="center"/>
              <w:rPr>
                <w:lang w:val="en-US"/>
              </w:rPr>
            </w:pPr>
            <w:r>
              <w:rPr>
                <w:lang w:val="en-US"/>
              </w:rPr>
              <w:t>0.07</w:t>
            </w:r>
          </w:p>
        </w:tc>
      </w:tr>
    </w:tbl>
    <w:p>
      <w:bookmarkStart w:id="98" w:name="结论"/>
      <w:bookmarkEnd w:id="98"/>
      <w:r>
        <w:t>标准要求：迎背风面窗平均风压差（绝对值）≤5Pa。结论：该楼</w:t>
      </w:r>
      <w:r>
        <w:rPr>
          <w:b/>
          <w:color w:val="0000FF"/>
        </w:rPr>
        <w:t>达标</w:t>
      </w:r>
      <w:r>
        <w:t>。</w:t>
      </w:r>
    </w:p>
    <w:bookmarkEnd w:id="96"/>
    <w:p>
      <w:pPr>
        <w:jc w:val="center"/>
        <w:rPr>
          <w:rFonts w:ascii="Cambria" w:hAnsi="Cambria" w:eastAsia="黑体"/>
          <w:sz w:val="20"/>
        </w:rPr>
      </w:pPr>
      <w:bookmarkStart w:id="99" w:name="建筑迎背风面风压差表"/>
      <w:bookmarkEnd w:id="99"/>
      <w:bookmarkStart w:id="100" w:name="建筑迎背风面风压差表_新增"/>
      <w:bookmarkEnd w:id="100"/>
    </w:p>
    <w:p>
      <w:pPr>
        <w:pStyle w:val="6"/>
      </w:pPr>
      <w:r>
        <w:rPr>
          <w:rFonts w:hint="eastAsia"/>
        </w:rPr>
        <w:t>建筑迎风和背风面风压差结论汇总</w:t>
      </w:r>
    </w:p>
    <w:p>
      <w:pPr>
        <w:pStyle w:val="14"/>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3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E6E6E6" w:fill="E6E6E6"/>
            <w:noWrap w:val="0"/>
            <w:vAlign w:val="center"/>
          </w:tcPr>
          <w:p>
            <w:pPr>
              <w:jc w:val="center"/>
              <w:rPr>
                <w:lang w:val="en-US"/>
              </w:rPr>
            </w:pPr>
            <w:bookmarkStart w:id="101" w:name="建筑迎风和背风面风压差结论汇总表"/>
            <w:r>
              <w:rPr>
                <w:rFonts w:hint="eastAsia"/>
                <w:lang w:val="en-US"/>
              </w:rPr>
              <w:t>建筑编号</w:t>
            </w:r>
          </w:p>
        </w:tc>
        <w:tc>
          <w:tcPr>
            <w:tcW w:w="1276" w:type="dxa"/>
            <w:shd w:val="clear" w:color="E6E6E6" w:fill="E6E6E6"/>
            <w:noWrap w:val="0"/>
            <w:vAlign w:val="center"/>
          </w:tcPr>
          <w:p>
            <w:pPr>
              <w:jc w:val="center"/>
              <w:rPr>
                <w:lang w:val="en-US"/>
              </w:rPr>
            </w:pPr>
            <w:r>
              <w:rPr>
                <w:rFonts w:hint="eastAsia"/>
                <w:lang w:val="en-US"/>
              </w:rPr>
              <w:t>迎风面平均风压(Pa)</w:t>
            </w:r>
          </w:p>
        </w:tc>
        <w:tc>
          <w:tcPr>
            <w:tcW w:w="1276" w:type="dxa"/>
            <w:shd w:val="clear" w:color="E6E6E6" w:fill="E6E6E6"/>
            <w:noWrap w:val="0"/>
            <w:vAlign w:val="center"/>
          </w:tcPr>
          <w:p>
            <w:pPr>
              <w:jc w:val="center"/>
              <w:rPr>
                <w:lang w:val="en-US"/>
              </w:rPr>
            </w:pPr>
            <w:r>
              <w:rPr>
                <w:rFonts w:hint="eastAsia"/>
                <w:lang w:val="en-US"/>
              </w:rPr>
              <w:t>背风面平均风压(Pa)</w:t>
            </w:r>
          </w:p>
        </w:tc>
        <w:tc>
          <w:tcPr>
            <w:tcW w:w="1701" w:type="dxa"/>
            <w:shd w:val="clear" w:color="E6E6E6" w:fill="E6E6E6"/>
            <w:noWrap w:val="0"/>
            <w:vAlign w:val="center"/>
          </w:tcPr>
          <w:p>
            <w:pPr>
              <w:jc w:val="center"/>
              <w:rPr>
                <w:lang w:val="en-US"/>
              </w:rPr>
            </w:pPr>
            <w:r>
              <w:rPr>
                <w:rFonts w:hint="eastAsia"/>
                <w:lang w:val="en-US"/>
              </w:rPr>
              <w:t>建筑迎风和背风面风压差(Pa)</w:t>
            </w:r>
          </w:p>
        </w:tc>
        <w:tc>
          <w:tcPr>
            <w:tcW w:w="973" w:type="dxa"/>
            <w:shd w:val="clear" w:color="E6E6E6" w:fill="E6E6E6"/>
            <w:noWrap w:val="0"/>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未命名(8439)</w:t>
            </w:r>
          </w:p>
        </w:tc>
        <w:tc>
          <w:tcPr>
            <w:tcW w:w="1276" w:type="dxa"/>
            <w:shd w:val="clear" w:color="auto" w:fill="auto"/>
            <w:noWrap w:val="0"/>
            <w:vAlign w:val="center"/>
          </w:tcPr>
          <w:p>
            <w:pPr>
              <w:jc w:val="center"/>
              <w:rPr>
                <w:lang w:val="en-US"/>
              </w:rPr>
            </w:pPr>
            <w:r>
              <w:rPr>
                <w:lang w:val="en-US"/>
              </w:rPr>
              <w:t>-0.03</w:t>
            </w:r>
          </w:p>
        </w:tc>
        <w:tc>
          <w:tcPr>
            <w:tcW w:w="1276" w:type="dxa"/>
            <w:shd w:val="clear" w:color="auto" w:fill="auto"/>
            <w:noWrap w:val="0"/>
            <w:vAlign w:val="center"/>
          </w:tcPr>
          <w:p>
            <w:pPr>
              <w:jc w:val="center"/>
              <w:rPr>
                <w:lang w:val="en-US"/>
              </w:rPr>
            </w:pPr>
            <w:r>
              <w:rPr>
                <w:lang w:val="en-US"/>
              </w:rPr>
              <w:t>-0.22</w:t>
            </w:r>
          </w:p>
        </w:tc>
        <w:tc>
          <w:tcPr>
            <w:tcW w:w="1701" w:type="dxa"/>
            <w:shd w:val="clear" w:color="auto" w:fill="auto"/>
            <w:noWrap w:val="0"/>
            <w:vAlign w:val="center"/>
          </w:tcPr>
          <w:p>
            <w:pPr>
              <w:jc w:val="center"/>
              <w:rPr>
                <w:lang w:val="en-US"/>
              </w:rPr>
            </w:pPr>
            <w:r>
              <w:rPr>
                <w:lang w:val="en-US"/>
              </w:rPr>
              <w:t>0.20</w:t>
            </w:r>
          </w:p>
        </w:tc>
        <w:tc>
          <w:tcPr>
            <w:tcW w:w="973" w:type="dxa"/>
            <w:shd w:val="clear" w:color="auto" w:fill="auto"/>
            <w:noWrap w:val="0"/>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未命名(845C)</w:t>
            </w:r>
          </w:p>
        </w:tc>
        <w:tc>
          <w:tcPr>
            <w:tcW w:w="1276" w:type="dxa"/>
            <w:shd w:val="clear" w:color="auto" w:fill="auto"/>
            <w:noWrap w:val="0"/>
            <w:vAlign w:val="center"/>
          </w:tcPr>
          <w:p>
            <w:pPr>
              <w:jc w:val="center"/>
              <w:rPr>
                <w:lang w:val="en-US"/>
              </w:rPr>
            </w:pPr>
            <w:r>
              <w:rPr>
                <w:lang w:val="en-US"/>
              </w:rPr>
              <w:t>0.00</w:t>
            </w:r>
          </w:p>
        </w:tc>
        <w:tc>
          <w:tcPr>
            <w:tcW w:w="1276" w:type="dxa"/>
            <w:shd w:val="clear" w:color="auto" w:fill="auto"/>
            <w:noWrap w:val="0"/>
            <w:vAlign w:val="center"/>
          </w:tcPr>
          <w:p>
            <w:pPr>
              <w:jc w:val="center"/>
              <w:rPr>
                <w:lang w:val="en-US"/>
              </w:rPr>
            </w:pPr>
            <w:r>
              <w:rPr>
                <w:lang w:val="en-US"/>
              </w:rPr>
              <w:t>-0.19</w:t>
            </w:r>
          </w:p>
        </w:tc>
        <w:tc>
          <w:tcPr>
            <w:tcW w:w="1701" w:type="dxa"/>
            <w:shd w:val="clear" w:color="auto" w:fill="auto"/>
            <w:noWrap w:val="0"/>
            <w:vAlign w:val="center"/>
          </w:tcPr>
          <w:p>
            <w:pPr>
              <w:jc w:val="center"/>
              <w:rPr>
                <w:lang w:val="en-US"/>
              </w:rPr>
            </w:pPr>
            <w:r>
              <w:rPr>
                <w:lang w:val="en-US"/>
              </w:rPr>
              <w:t>0.20</w:t>
            </w:r>
          </w:p>
        </w:tc>
        <w:tc>
          <w:tcPr>
            <w:tcW w:w="973" w:type="dxa"/>
            <w:shd w:val="clear" w:color="auto" w:fill="auto"/>
            <w:noWrap w:val="0"/>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DT单体(组01)</w:t>
            </w:r>
          </w:p>
        </w:tc>
        <w:tc>
          <w:tcPr>
            <w:tcW w:w="1276" w:type="dxa"/>
            <w:shd w:val="clear" w:color="auto" w:fill="auto"/>
            <w:noWrap w:val="0"/>
            <w:vAlign w:val="center"/>
          </w:tcPr>
          <w:p>
            <w:pPr>
              <w:jc w:val="center"/>
              <w:rPr>
                <w:lang w:val="en-US"/>
              </w:rPr>
            </w:pPr>
            <w:r>
              <w:rPr>
                <w:lang w:val="en-US"/>
              </w:rPr>
              <w:t>0.03</w:t>
            </w:r>
          </w:p>
        </w:tc>
        <w:tc>
          <w:tcPr>
            <w:tcW w:w="1276" w:type="dxa"/>
            <w:shd w:val="clear" w:color="auto" w:fill="auto"/>
            <w:noWrap w:val="0"/>
            <w:vAlign w:val="center"/>
          </w:tcPr>
          <w:p>
            <w:pPr>
              <w:jc w:val="center"/>
              <w:rPr>
                <w:lang w:val="en-US"/>
              </w:rPr>
            </w:pPr>
            <w:r>
              <w:rPr>
                <w:lang w:val="en-US"/>
              </w:rPr>
              <w:t>-0.04</w:t>
            </w:r>
          </w:p>
        </w:tc>
        <w:tc>
          <w:tcPr>
            <w:tcW w:w="1701" w:type="dxa"/>
            <w:shd w:val="clear" w:color="auto" w:fill="auto"/>
            <w:noWrap w:val="0"/>
            <w:vAlign w:val="center"/>
          </w:tcPr>
          <w:p>
            <w:pPr>
              <w:jc w:val="center"/>
              <w:rPr>
                <w:lang w:val="en-US"/>
              </w:rPr>
            </w:pPr>
            <w:r>
              <w:rPr>
                <w:lang w:val="en-US"/>
              </w:rPr>
              <w:t>0.07</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未命名(8458)</w:t>
            </w:r>
          </w:p>
        </w:tc>
        <w:tc>
          <w:tcPr>
            <w:tcW w:w="1276" w:type="dxa"/>
            <w:shd w:val="clear" w:color="auto" w:fill="auto"/>
            <w:noWrap w:val="0"/>
            <w:vAlign w:val="center"/>
          </w:tcPr>
          <w:p>
            <w:pPr>
              <w:jc w:val="center"/>
              <w:rPr>
                <w:lang w:val="en-US"/>
              </w:rPr>
            </w:pPr>
            <w:r>
              <w:rPr>
                <w:lang w:val="en-US"/>
              </w:rPr>
              <w:t>0.10</w:t>
            </w:r>
          </w:p>
        </w:tc>
        <w:tc>
          <w:tcPr>
            <w:tcW w:w="1276" w:type="dxa"/>
            <w:shd w:val="clear" w:color="auto" w:fill="auto"/>
            <w:noWrap w:val="0"/>
            <w:vAlign w:val="center"/>
          </w:tcPr>
          <w:p>
            <w:pPr>
              <w:jc w:val="center"/>
              <w:rPr>
                <w:lang w:val="en-US"/>
              </w:rPr>
            </w:pPr>
            <w:r>
              <w:rPr>
                <w:lang w:val="en-US"/>
              </w:rPr>
              <w:t>-0.51</w:t>
            </w:r>
          </w:p>
        </w:tc>
        <w:tc>
          <w:tcPr>
            <w:tcW w:w="1701" w:type="dxa"/>
            <w:shd w:val="clear" w:color="auto" w:fill="auto"/>
            <w:noWrap w:val="0"/>
            <w:vAlign w:val="center"/>
          </w:tcPr>
          <w:p>
            <w:pPr>
              <w:jc w:val="center"/>
              <w:rPr>
                <w:lang w:val="en-US"/>
              </w:rPr>
            </w:pPr>
            <w:r>
              <w:rPr>
                <w:lang w:val="en-US"/>
              </w:rPr>
              <w:t>0.60</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未命名(8467)</w:t>
            </w:r>
          </w:p>
        </w:tc>
        <w:tc>
          <w:tcPr>
            <w:tcW w:w="1276" w:type="dxa"/>
            <w:shd w:val="clear" w:color="auto" w:fill="auto"/>
            <w:noWrap w:val="0"/>
            <w:vAlign w:val="center"/>
          </w:tcPr>
          <w:p>
            <w:pPr>
              <w:jc w:val="center"/>
              <w:rPr>
                <w:lang w:val="en-US"/>
              </w:rPr>
            </w:pPr>
            <w:r>
              <w:rPr>
                <w:lang w:val="en-US"/>
              </w:rPr>
              <w:t>0.01</w:t>
            </w:r>
          </w:p>
        </w:tc>
        <w:tc>
          <w:tcPr>
            <w:tcW w:w="1276" w:type="dxa"/>
            <w:shd w:val="clear" w:color="auto" w:fill="auto"/>
            <w:noWrap w:val="0"/>
            <w:vAlign w:val="center"/>
          </w:tcPr>
          <w:p>
            <w:pPr>
              <w:jc w:val="center"/>
              <w:rPr>
                <w:lang w:val="en-US"/>
              </w:rPr>
            </w:pPr>
            <w:r>
              <w:rPr>
                <w:lang w:val="en-US"/>
              </w:rPr>
              <w:t>-0.20</w:t>
            </w:r>
          </w:p>
        </w:tc>
        <w:tc>
          <w:tcPr>
            <w:tcW w:w="1701" w:type="dxa"/>
            <w:shd w:val="clear" w:color="auto" w:fill="auto"/>
            <w:noWrap w:val="0"/>
            <w:vAlign w:val="center"/>
          </w:tcPr>
          <w:p>
            <w:pPr>
              <w:jc w:val="center"/>
              <w:rPr>
                <w:lang w:val="en-US"/>
              </w:rPr>
            </w:pPr>
            <w:r>
              <w:rPr>
                <w:lang w:val="en-US"/>
              </w:rPr>
              <w:t>0.22</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未命名(846A)</w:t>
            </w:r>
          </w:p>
        </w:tc>
        <w:tc>
          <w:tcPr>
            <w:tcW w:w="1276" w:type="dxa"/>
            <w:shd w:val="clear" w:color="auto" w:fill="auto"/>
            <w:noWrap w:val="0"/>
            <w:vAlign w:val="center"/>
          </w:tcPr>
          <w:p>
            <w:pPr>
              <w:jc w:val="center"/>
              <w:rPr>
                <w:lang w:val="en-US"/>
              </w:rPr>
            </w:pPr>
            <w:r>
              <w:rPr>
                <w:lang w:val="en-US"/>
              </w:rPr>
              <w:t>0.17</w:t>
            </w:r>
          </w:p>
        </w:tc>
        <w:tc>
          <w:tcPr>
            <w:tcW w:w="1276" w:type="dxa"/>
            <w:shd w:val="clear" w:color="auto" w:fill="auto"/>
            <w:noWrap w:val="0"/>
            <w:vAlign w:val="center"/>
          </w:tcPr>
          <w:p>
            <w:pPr>
              <w:jc w:val="center"/>
              <w:rPr>
                <w:lang w:val="en-US"/>
              </w:rPr>
            </w:pPr>
            <w:r>
              <w:rPr>
                <w:lang w:val="en-US"/>
              </w:rPr>
              <w:t>-0.09</w:t>
            </w:r>
          </w:p>
        </w:tc>
        <w:tc>
          <w:tcPr>
            <w:tcW w:w="1701" w:type="dxa"/>
            <w:shd w:val="clear" w:color="auto" w:fill="auto"/>
            <w:noWrap w:val="0"/>
            <w:vAlign w:val="center"/>
          </w:tcPr>
          <w:p>
            <w:pPr>
              <w:jc w:val="center"/>
              <w:rPr>
                <w:lang w:val="en-US"/>
              </w:rPr>
            </w:pPr>
            <w:r>
              <w:rPr>
                <w:lang w:val="en-US"/>
              </w:rPr>
              <w:t>0.25</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未命名(846D)</w:t>
            </w:r>
          </w:p>
        </w:tc>
        <w:tc>
          <w:tcPr>
            <w:tcW w:w="1276" w:type="dxa"/>
            <w:shd w:val="clear" w:color="auto" w:fill="auto"/>
            <w:noWrap w:val="0"/>
            <w:vAlign w:val="center"/>
          </w:tcPr>
          <w:p>
            <w:pPr>
              <w:jc w:val="center"/>
              <w:rPr>
                <w:lang w:val="en-US"/>
              </w:rPr>
            </w:pPr>
            <w:r>
              <w:rPr>
                <w:lang w:val="en-US"/>
              </w:rPr>
              <w:t>-0.10</w:t>
            </w:r>
          </w:p>
        </w:tc>
        <w:tc>
          <w:tcPr>
            <w:tcW w:w="1276" w:type="dxa"/>
            <w:shd w:val="clear" w:color="auto" w:fill="auto"/>
            <w:noWrap w:val="0"/>
            <w:vAlign w:val="center"/>
          </w:tcPr>
          <w:p>
            <w:pPr>
              <w:jc w:val="center"/>
              <w:rPr>
                <w:lang w:val="en-US"/>
              </w:rPr>
            </w:pPr>
            <w:r>
              <w:rPr>
                <w:lang w:val="en-US"/>
              </w:rPr>
              <w:t>-0.10</w:t>
            </w:r>
          </w:p>
        </w:tc>
        <w:tc>
          <w:tcPr>
            <w:tcW w:w="1701" w:type="dxa"/>
            <w:shd w:val="clear" w:color="auto" w:fill="auto"/>
            <w:noWrap w:val="0"/>
            <w:vAlign w:val="center"/>
          </w:tcPr>
          <w:p>
            <w:pPr>
              <w:jc w:val="center"/>
              <w:rPr>
                <w:lang w:val="en-US"/>
              </w:rPr>
            </w:pPr>
            <w:r>
              <w:rPr>
                <w:lang w:val="en-US"/>
              </w:rPr>
              <w:t>-0.00</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未命名(8470)</w:t>
            </w:r>
          </w:p>
        </w:tc>
        <w:tc>
          <w:tcPr>
            <w:tcW w:w="1276" w:type="dxa"/>
            <w:shd w:val="clear" w:color="auto" w:fill="auto"/>
            <w:noWrap w:val="0"/>
            <w:vAlign w:val="center"/>
          </w:tcPr>
          <w:p>
            <w:pPr>
              <w:jc w:val="center"/>
              <w:rPr>
                <w:lang w:val="en-US"/>
              </w:rPr>
            </w:pPr>
            <w:r>
              <w:rPr>
                <w:lang w:val="en-US"/>
              </w:rPr>
              <w:t>-0.07</w:t>
            </w:r>
          </w:p>
        </w:tc>
        <w:tc>
          <w:tcPr>
            <w:tcW w:w="1276" w:type="dxa"/>
            <w:shd w:val="clear" w:color="auto" w:fill="auto"/>
            <w:noWrap w:val="0"/>
            <w:vAlign w:val="center"/>
          </w:tcPr>
          <w:p>
            <w:pPr>
              <w:jc w:val="center"/>
              <w:rPr>
                <w:lang w:val="en-US"/>
              </w:rPr>
            </w:pPr>
            <w:r>
              <w:rPr>
                <w:lang w:val="en-US"/>
              </w:rPr>
              <w:t>-0.04</w:t>
            </w:r>
          </w:p>
        </w:tc>
        <w:tc>
          <w:tcPr>
            <w:tcW w:w="1701" w:type="dxa"/>
            <w:shd w:val="clear" w:color="auto" w:fill="auto"/>
            <w:noWrap w:val="0"/>
            <w:vAlign w:val="center"/>
          </w:tcPr>
          <w:p>
            <w:pPr>
              <w:jc w:val="center"/>
              <w:rPr>
                <w:lang w:val="en-US"/>
              </w:rPr>
            </w:pPr>
            <w:r>
              <w:rPr>
                <w:lang w:val="en-US"/>
              </w:rPr>
              <w:t>-0.03</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未命名(8473)</w:t>
            </w:r>
          </w:p>
        </w:tc>
        <w:tc>
          <w:tcPr>
            <w:tcW w:w="1276" w:type="dxa"/>
            <w:shd w:val="clear" w:color="auto" w:fill="auto"/>
            <w:noWrap w:val="0"/>
            <w:vAlign w:val="center"/>
          </w:tcPr>
          <w:p>
            <w:pPr>
              <w:jc w:val="center"/>
              <w:rPr>
                <w:lang w:val="en-US"/>
              </w:rPr>
            </w:pPr>
            <w:r>
              <w:rPr>
                <w:lang w:val="en-US"/>
              </w:rPr>
              <w:t>-0.02</w:t>
            </w:r>
          </w:p>
        </w:tc>
        <w:tc>
          <w:tcPr>
            <w:tcW w:w="1276" w:type="dxa"/>
            <w:shd w:val="clear" w:color="auto" w:fill="auto"/>
            <w:noWrap w:val="0"/>
            <w:vAlign w:val="center"/>
          </w:tcPr>
          <w:p>
            <w:pPr>
              <w:jc w:val="center"/>
              <w:rPr>
                <w:lang w:val="en-US"/>
              </w:rPr>
            </w:pPr>
            <w:r>
              <w:rPr>
                <w:lang w:val="en-US"/>
              </w:rPr>
              <w:t>-0.11</w:t>
            </w:r>
          </w:p>
        </w:tc>
        <w:tc>
          <w:tcPr>
            <w:tcW w:w="1701" w:type="dxa"/>
            <w:shd w:val="clear" w:color="auto" w:fill="auto"/>
            <w:noWrap w:val="0"/>
            <w:vAlign w:val="center"/>
          </w:tcPr>
          <w:p>
            <w:pPr>
              <w:jc w:val="center"/>
              <w:rPr>
                <w:lang w:val="en-US"/>
              </w:rPr>
            </w:pPr>
            <w:r>
              <w:rPr>
                <w:lang w:val="en-US"/>
              </w:rPr>
              <w:t>0.09</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未命名(8476)</w:t>
            </w:r>
          </w:p>
        </w:tc>
        <w:tc>
          <w:tcPr>
            <w:tcW w:w="1276" w:type="dxa"/>
            <w:shd w:val="clear" w:color="auto" w:fill="auto"/>
            <w:noWrap w:val="0"/>
            <w:vAlign w:val="center"/>
          </w:tcPr>
          <w:p>
            <w:pPr>
              <w:jc w:val="center"/>
              <w:rPr>
                <w:lang w:val="en-US"/>
              </w:rPr>
            </w:pPr>
            <w:r>
              <w:rPr>
                <w:lang w:val="en-US"/>
              </w:rPr>
              <w:t>-0.09</w:t>
            </w:r>
          </w:p>
        </w:tc>
        <w:tc>
          <w:tcPr>
            <w:tcW w:w="1276" w:type="dxa"/>
            <w:shd w:val="clear" w:color="auto" w:fill="auto"/>
            <w:noWrap w:val="0"/>
            <w:vAlign w:val="center"/>
          </w:tcPr>
          <w:p>
            <w:pPr>
              <w:jc w:val="center"/>
              <w:rPr>
                <w:lang w:val="en-US"/>
              </w:rPr>
            </w:pPr>
            <w:r>
              <w:rPr>
                <w:lang w:val="en-US"/>
              </w:rPr>
              <w:t>-0.08</w:t>
            </w:r>
          </w:p>
        </w:tc>
        <w:tc>
          <w:tcPr>
            <w:tcW w:w="1701" w:type="dxa"/>
            <w:shd w:val="clear" w:color="auto" w:fill="auto"/>
            <w:noWrap w:val="0"/>
            <w:vAlign w:val="center"/>
          </w:tcPr>
          <w:p>
            <w:pPr>
              <w:jc w:val="center"/>
              <w:rPr>
                <w:lang w:val="en-US"/>
              </w:rPr>
            </w:pPr>
            <w:r>
              <w:rPr>
                <w:lang w:val="en-US"/>
              </w:rPr>
              <w:t>-0.00</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未命名(8479)</w:t>
            </w:r>
          </w:p>
        </w:tc>
        <w:tc>
          <w:tcPr>
            <w:tcW w:w="1276" w:type="dxa"/>
            <w:shd w:val="clear" w:color="auto" w:fill="auto"/>
            <w:noWrap w:val="0"/>
            <w:vAlign w:val="center"/>
          </w:tcPr>
          <w:p>
            <w:pPr>
              <w:jc w:val="center"/>
              <w:rPr>
                <w:lang w:val="en-US"/>
              </w:rPr>
            </w:pPr>
            <w:r>
              <w:rPr>
                <w:lang w:val="en-US"/>
              </w:rPr>
              <w:t>0.04</w:t>
            </w:r>
          </w:p>
        </w:tc>
        <w:tc>
          <w:tcPr>
            <w:tcW w:w="1276" w:type="dxa"/>
            <w:shd w:val="clear" w:color="auto" w:fill="auto"/>
            <w:noWrap w:val="0"/>
            <w:vAlign w:val="center"/>
          </w:tcPr>
          <w:p>
            <w:pPr>
              <w:jc w:val="center"/>
              <w:rPr>
                <w:lang w:val="en-US"/>
              </w:rPr>
            </w:pPr>
            <w:r>
              <w:rPr>
                <w:lang w:val="en-US"/>
              </w:rPr>
              <w:t>-0.09</w:t>
            </w:r>
          </w:p>
        </w:tc>
        <w:tc>
          <w:tcPr>
            <w:tcW w:w="1701" w:type="dxa"/>
            <w:shd w:val="clear" w:color="auto" w:fill="auto"/>
            <w:noWrap w:val="0"/>
            <w:vAlign w:val="center"/>
          </w:tcPr>
          <w:p>
            <w:pPr>
              <w:jc w:val="center"/>
              <w:rPr>
                <w:lang w:val="en-US"/>
              </w:rPr>
            </w:pPr>
            <w:r>
              <w:rPr>
                <w:lang w:val="en-US"/>
              </w:rPr>
              <w:t>0.12</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未命名(847C)</w:t>
            </w:r>
          </w:p>
        </w:tc>
        <w:tc>
          <w:tcPr>
            <w:tcW w:w="1276" w:type="dxa"/>
            <w:shd w:val="clear" w:color="auto" w:fill="auto"/>
            <w:noWrap w:val="0"/>
            <w:vAlign w:val="center"/>
          </w:tcPr>
          <w:p>
            <w:pPr>
              <w:jc w:val="center"/>
              <w:rPr>
                <w:lang w:val="en-US"/>
              </w:rPr>
            </w:pPr>
            <w:r>
              <w:rPr>
                <w:lang w:val="en-US"/>
              </w:rPr>
              <w:t>-0.04</w:t>
            </w:r>
          </w:p>
        </w:tc>
        <w:tc>
          <w:tcPr>
            <w:tcW w:w="1276" w:type="dxa"/>
            <w:shd w:val="clear" w:color="auto" w:fill="auto"/>
            <w:noWrap w:val="0"/>
            <w:vAlign w:val="center"/>
          </w:tcPr>
          <w:p>
            <w:pPr>
              <w:jc w:val="center"/>
              <w:rPr>
                <w:lang w:val="en-US"/>
              </w:rPr>
            </w:pPr>
            <w:r>
              <w:rPr>
                <w:lang w:val="en-US"/>
              </w:rPr>
              <w:t>-0.08</w:t>
            </w:r>
          </w:p>
        </w:tc>
        <w:tc>
          <w:tcPr>
            <w:tcW w:w="1701" w:type="dxa"/>
            <w:shd w:val="clear" w:color="auto" w:fill="auto"/>
            <w:noWrap w:val="0"/>
            <w:vAlign w:val="center"/>
          </w:tcPr>
          <w:p>
            <w:pPr>
              <w:jc w:val="center"/>
              <w:rPr>
                <w:lang w:val="en-US"/>
              </w:rPr>
            </w:pPr>
            <w:r>
              <w:rPr>
                <w:lang w:val="en-US"/>
              </w:rPr>
              <w:t>0.04</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未命名(847F)</w:t>
            </w:r>
          </w:p>
        </w:tc>
        <w:tc>
          <w:tcPr>
            <w:tcW w:w="1276" w:type="dxa"/>
            <w:shd w:val="clear" w:color="auto" w:fill="auto"/>
            <w:noWrap w:val="0"/>
            <w:vAlign w:val="center"/>
          </w:tcPr>
          <w:p>
            <w:pPr>
              <w:jc w:val="center"/>
              <w:rPr>
                <w:lang w:val="en-US"/>
              </w:rPr>
            </w:pPr>
            <w:r>
              <w:rPr>
                <w:lang w:val="en-US"/>
              </w:rPr>
              <w:t>0.04</w:t>
            </w:r>
          </w:p>
        </w:tc>
        <w:tc>
          <w:tcPr>
            <w:tcW w:w="1276" w:type="dxa"/>
            <w:shd w:val="clear" w:color="auto" w:fill="auto"/>
            <w:noWrap w:val="0"/>
            <w:vAlign w:val="center"/>
          </w:tcPr>
          <w:p>
            <w:pPr>
              <w:jc w:val="center"/>
              <w:rPr>
                <w:lang w:val="en-US"/>
              </w:rPr>
            </w:pPr>
            <w:r>
              <w:rPr>
                <w:lang w:val="en-US"/>
              </w:rPr>
              <w:t>-0.04</w:t>
            </w:r>
          </w:p>
        </w:tc>
        <w:tc>
          <w:tcPr>
            <w:tcW w:w="1701" w:type="dxa"/>
            <w:shd w:val="clear" w:color="auto" w:fill="auto"/>
            <w:noWrap w:val="0"/>
            <w:vAlign w:val="center"/>
          </w:tcPr>
          <w:p>
            <w:pPr>
              <w:jc w:val="center"/>
              <w:rPr>
                <w:lang w:val="en-US"/>
              </w:rPr>
            </w:pPr>
            <w:r>
              <w:rPr>
                <w:lang w:val="en-US"/>
              </w:rPr>
              <w:t>0.08</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未命名(8482)</w:t>
            </w:r>
          </w:p>
        </w:tc>
        <w:tc>
          <w:tcPr>
            <w:tcW w:w="1276" w:type="dxa"/>
            <w:shd w:val="clear" w:color="auto" w:fill="auto"/>
            <w:noWrap w:val="0"/>
            <w:vAlign w:val="center"/>
          </w:tcPr>
          <w:p>
            <w:pPr>
              <w:jc w:val="center"/>
              <w:rPr>
                <w:lang w:val="en-US"/>
              </w:rPr>
            </w:pPr>
            <w:r>
              <w:rPr>
                <w:lang w:val="en-US"/>
              </w:rPr>
              <w:t>-0.09</w:t>
            </w:r>
          </w:p>
        </w:tc>
        <w:tc>
          <w:tcPr>
            <w:tcW w:w="1276" w:type="dxa"/>
            <w:shd w:val="clear" w:color="auto" w:fill="auto"/>
            <w:noWrap w:val="0"/>
            <w:vAlign w:val="center"/>
          </w:tcPr>
          <w:p>
            <w:pPr>
              <w:jc w:val="center"/>
              <w:rPr>
                <w:lang w:val="en-US"/>
              </w:rPr>
            </w:pPr>
            <w:r>
              <w:rPr>
                <w:lang w:val="en-US"/>
              </w:rPr>
              <w:t>-0.08</w:t>
            </w:r>
          </w:p>
        </w:tc>
        <w:tc>
          <w:tcPr>
            <w:tcW w:w="1701" w:type="dxa"/>
            <w:shd w:val="clear" w:color="auto" w:fill="auto"/>
            <w:noWrap w:val="0"/>
            <w:vAlign w:val="center"/>
          </w:tcPr>
          <w:p>
            <w:pPr>
              <w:jc w:val="center"/>
              <w:rPr>
                <w:lang w:val="en-US"/>
              </w:rPr>
            </w:pPr>
            <w:r>
              <w:rPr>
                <w:lang w:val="en-US"/>
              </w:rPr>
              <w:t>-0.01</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未命名(8485)</w:t>
            </w:r>
          </w:p>
        </w:tc>
        <w:tc>
          <w:tcPr>
            <w:tcW w:w="1276" w:type="dxa"/>
            <w:shd w:val="clear" w:color="auto" w:fill="auto"/>
            <w:noWrap w:val="0"/>
            <w:vAlign w:val="center"/>
          </w:tcPr>
          <w:p>
            <w:pPr>
              <w:jc w:val="center"/>
              <w:rPr>
                <w:lang w:val="en-US"/>
              </w:rPr>
            </w:pPr>
            <w:r>
              <w:rPr>
                <w:lang w:val="en-US"/>
              </w:rPr>
              <w:t>-0.08</w:t>
            </w:r>
          </w:p>
        </w:tc>
        <w:tc>
          <w:tcPr>
            <w:tcW w:w="1276" w:type="dxa"/>
            <w:shd w:val="clear" w:color="auto" w:fill="auto"/>
            <w:noWrap w:val="0"/>
            <w:vAlign w:val="center"/>
          </w:tcPr>
          <w:p>
            <w:pPr>
              <w:jc w:val="center"/>
              <w:rPr>
                <w:lang w:val="en-US"/>
              </w:rPr>
            </w:pPr>
            <w:r>
              <w:rPr>
                <w:lang w:val="en-US"/>
              </w:rPr>
              <w:t>-0.07</w:t>
            </w:r>
          </w:p>
        </w:tc>
        <w:tc>
          <w:tcPr>
            <w:tcW w:w="1701" w:type="dxa"/>
            <w:shd w:val="clear" w:color="auto" w:fill="auto"/>
            <w:noWrap w:val="0"/>
            <w:vAlign w:val="center"/>
          </w:tcPr>
          <w:p>
            <w:pPr>
              <w:jc w:val="center"/>
              <w:rPr>
                <w:lang w:val="en-US"/>
              </w:rPr>
            </w:pPr>
            <w:r>
              <w:rPr>
                <w:lang w:val="en-US"/>
              </w:rPr>
              <w:t>-0.01</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未命名(8488)</w:t>
            </w:r>
          </w:p>
        </w:tc>
        <w:tc>
          <w:tcPr>
            <w:tcW w:w="1276" w:type="dxa"/>
            <w:shd w:val="clear" w:color="auto" w:fill="auto"/>
            <w:noWrap w:val="0"/>
            <w:vAlign w:val="center"/>
          </w:tcPr>
          <w:p>
            <w:pPr>
              <w:jc w:val="center"/>
              <w:rPr>
                <w:lang w:val="en-US"/>
              </w:rPr>
            </w:pPr>
            <w:r>
              <w:rPr>
                <w:lang w:val="en-US"/>
              </w:rPr>
              <w:t>0.05</w:t>
            </w:r>
          </w:p>
        </w:tc>
        <w:tc>
          <w:tcPr>
            <w:tcW w:w="1276" w:type="dxa"/>
            <w:shd w:val="clear" w:color="auto" w:fill="auto"/>
            <w:noWrap w:val="0"/>
            <w:vAlign w:val="center"/>
          </w:tcPr>
          <w:p>
            <w:pPr>
              <w:jc w:val="center"/>
              <w:rPr>
                <w:lang w:val="en-US"/>
              </w:rPr>
            </w:pPr>
            <w:r>
              <w:rPr>
                <w:lang w:val="en-US"/>
              </w:rPr>
              <w:t>-0.07</w:t>
            </w:r>
          </w:p>
        </w:tc>
        <w:tc>
          <w:tcPr>
            <w:tcW w:w="1701" w:type="dxa"/>
            <w:shd w:val="clear" w:color="auto" w:fill="auto"/>
            <w:noWrap w:val="0"/>
            <w:vAlign w:val="center"/>
          </w:tcPr>
          <w:p>
            <w:pPr>
              <w:jc w:val="center"/>
              <w:rPr>
                <w:lang w:val="en-US"/>
              </w:rPr>
            </w:pPr>
            <w:r>
              <w:rPr>
                <w:lang w:val="en-US"/>
              </w:rPr>
              <w:t>0.11</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未命名(848B)</w:t>
            </w:r>
          </w:p>
        </w:tc>
        <w:tc>
          <w:tcPr>
            <w:tcW w:w="1276" w:type="dxa"/>
            <w:shd w:val="clear" w:color="auto" w:fill="auto"/>
            <w:noWrap w:val="0"/>
            <w:vAlign w:val="center"/>
          </w:tcPr>
          <w:p>
            <w:pPr>
              <w:jc w:val="center"/>
              <w:rPr>
                <w:lang w:val="en-US"/>
              </w:rPr>
            </w:pPr>
            <w:r>
              <w:rPr>
                <w:lang w:val="en-US"/>
              </w:rPr>
              <w:t>-0.03</w:t>
            </w:r>
          </w:p>
        </w:tc>
        <w:tc>
          <w:tcPr>
            <w:tcW w:w="1276" w:type="dxa"/>
            <w:shd w:val="clear" w:color="auto" w:fill="auto"/>
            <w:noWrap w:val="0"/>
            <w:vAlign w:val="center"/>
          </w:tcPr>
          <w:p>
            <w:pPr>
              <w:jc w:val="center"/>
              <w:rPr>
                <w:lang w:val="en-US"/>
              </w:rPr>
            </w:pPr>
            <w:r>
              <w:rPr>
                <w:lang w:val="en-US"/>
              </w:rPr>
              <w:t>-0.10</w:t>
            </w:r>
          </w:p>
        </w:tc>
        <w:tc>
          <w:tcPr>
            <w:tcW w:w="1701" w:type="dxa"/>
            <w:shd w:val="clear" w:color="auto" w:fill="auto"/>
            <w:noWrap w:val="0"/>
            <w:vAlign w:val="center"/>
          </w:tcPr>
          <w:p>
            <w:pPr>
              <w:jc w:val="center"/>
              <w:rPr>
                <w:lang w:val="en-US"/>
              </w:rPr>
            </w:pPr>
            <w:r>
              <w:rPr>
                <w:lang w:val="en-US"/>
              </w:rPr>
              <w:t>0.06</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未命名(848E)</w:t>
            </w:r>
          </w:p>
        </w:tc>
        <w:tc>
          <w:tcPr>
            <w:tcW w:w="1276" w:type="dxa"/>
            <w:shd w:val="clear" w:color="auto" w:fill="auto"/>
            <w:noWrap w:val="0"/>
            <w:vAlign w:val="center"/>
          </w:tcPr>
          <w:p>
            <w:pPr>
              <w:jc w:val="center"/>
              <w:rPr>
                <w:lang w:val="en-US"/>
              </w:rPr>
            </w:pPr>
            <w:r>
              <w:rPr>
                <w:lang w:val="en-US"/>
              </w:rPr>
              <w:t>0.16</w:t>
            </w:r>
          </w:p>
        </w:tc>
        <w:tc>
          <w:tcPr>
            <w:tcW w:w="1276" w:type="dxa"/>
            <w:shd w:val="clear" w:color="auto" w:fill="auto"/>
            <w:noWrap w:val="0"/>
            <w:vAlign w:val="center"/>
          </w:tcPr>
          <w:p>
            <w:pPr>
              <w:jc w:val="center"/>
              <w:rPr>
                <w:lang w:val="en-US"/>
              </w:rPr>
            </w:pPr>
            <w:r>
              <w:rPr>
                <w:lang w:val="en-US"/>
              </w:rPr>
              <w:t>-0.01</w:t>
            </w:r>
          </w:p>
        </w:tc>
        <w:tc>
          <w:tcPr>
            <w:tcW w:w="1701" w:type="dxa"/>
            <w:shd w:val="clear" w:color="auto" w:fill="auto"/>
            <w:noWrap w:val="0"/>
            <w:vAlign w:val="center"/>
          </w:tcPr>
          <w:p>
            <w:pPr>
              <w:jc w:val="center"/>
              <w:rPr>
                <w:lang w:val="en-US"/>
              </w:rPr>
            </w:pPr>
            <w:r>
              <w:rPr>
                <w:lang w:val="en-US"/>
              </w:rPr>
              <w:t>0.18</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未命名(8491)</w:t>
            </w:r>
          </w:p>
        </w:tc>
        <w:tc>
          <w:tcPr>
            <w:tcW w:w="1276" w:type="dxa"/>
            <w:shd w:val="clear" w:color="auto" w:fill="auto"/>
            <w:noWrap w:val="0"/>
            <w:vAlign w:val="center"/>
          </w:tcPr>
          <w:p>
            <w:pPr>
              <w:jc w:val="center"/>
              <w:rPr>
                <w:lang w:val="en-US"/>
              </w:rPr>
            </w:pPr>
            <w:r>
              <w:rPr>
                <w:lang w:val="en-US"/>
              </w:rPr>
              <w:t>0.12</w:t>
            </w:r>
          </w:p>
        </w:tc>
        <w:tc>
          <w:tcPr>
            <w:tcW w:w="1276" w:type="dxa"/>
            <w:shd w:val="clear" w:color="auto" w:fill="auto"/>
            <w:noWrap w:val="0"/>
            <w:vAlign w:val="center"/>
          </w:tcPr>
          <w:p>
            <w:pPr>
              <w:jc w:val="center"/>
              <w:rPr>
                <w:lang w:val="en-US"/>
              </w:rPr>
            </w:pPr>
            <w:r>
              <w:rPr>
                <w:lang w:val="en-US"/>
              </w:rPr>
              <w:t>0.06</w:t>
            </w:r>
          </w:p>
        </w:tc>
        <w:tc>
          <w:tcPr>
            <w:tcW w:w="1701" w:type="dxa"/>
            <w:shd w:val="clear" w:color="auto" w:fill="auto"/>
            <w:noWrap w:val="0"/>
            <w:vAlign w:val="center"/>
          </w:tcPr>
          <w:p>
            <w:pPr>
              <w:jc w:val="center"/>
              <w:rPr>
                <w:lang w:val="en-US"/>
              </w:rPr>
            </w:pPr>
            <w:r>
              <w:rPr>
                <w:lang w:val="en-US"/>
              </w:rPr>
              <w:t>0.07</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未命名(8494)</w:t>
            </w:r>
          </w:p>
        </w:tc>
        <w:tc>
          <w:tcPr>
            <w:tcW w:w="1276" w:type="dxa"/>
            <w:shd w:val="clear" w:color="auto" w:fill="auto"/>
            <w:noWrap w:val="0"/>
            <w:vAlign w:val="center"/>
          </w:tcPr>
          <w:p>
            <w:pPr>
              <w:jc w:val="center"/>
              <w:rPr>
                <w:lang w:val="en-US"/>
              </w:rPr>
            </w:pPr>
            <w:r>
              <w:rPr>
                <w:lang w:val="en-US"/>
              </w:rPr>
              <w:t>0.11</w:t>
            </w:r>
          </w:p>
        </w:tc>
        <w:tc>
          <w:tcPr>
            <w:tcW w:w="1276" w:type="dxa"/>
            <w:shd w:val="clear" w:color="auto" w:fill="auto"/>
            <w:noWrap w:val="0"/>
            <w:vAlign w:val="center"/>
          </w:tcPr>
          <w:p>
            <w:pPr>
              <w:jc w:val="center"/>
              <w:rPr>
                <w:lang w:val="en-US"/>
              </w:rPr>
            </w:pPr>
            <w:r>
              <w:rPr>
                <w:lang w:val="en-US"/>
              </w:rPr>
              <w:t>0.03</w:t>
            </w:r>
          </w:p>
        </w:tc>
        <w:tc>
          <w:tcPr>
            <w:tcW w:w="1701" w:type="dxa"/>
            <w:shd w:val="clear" w:color="auto" w:fill="auto"/>
            <w:noWrap w:val="0"/>
            <w:vAlign w:val="center"/>
          </w:tcPr>
          <w:p>
            <w:pPr>
              <w:jc w:val="center"/>
              <w:rPr>
                <w:lang w:val="en-US"/>
              </w:rPr>
            </w:pPr>
            <w:r>
              <w:rPr>
                <w:lang w:val="en-US"/>
              </w:rPr>
              <w:t>0.08</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未命名(8497)</w:t>
            </w:r>
          </w:p>
        </w:tc>
        <w:tc>
          <w:tcPr>
            <w:tcW w:w="1276" w:type="dxa"/>
            <w:shd w:val="clear" w:color="auto" w:fill="auto"/>
            <w:noWrap w:val="0"/>
            <w:vAlign w:val="center"/>
          </w:tcPr>
          <w:p>
            <w:pPr>
              <w:jc w:val="center"/>
              <w:rPr>
                <w:lang w:val="en-US"/>
              </w:rPr>
            </w:pPr>
            <w:r>
              <w:rPr>
                <w:lang w:val="en-US"/>
              </w:rPr>
              <w:t>0.05</w:t>
            </w:r>
          </w:p>
        </w:tc>
        <w:tc>
          <w:tcPr>
            <w:tcW w:w="1276" w:type="dxa"/>
            <w:shd w:val="clear" w:color="auto" w:fill="auto"/>
            <w:noWrap w:val="0"/>
            <w:vAlign w:val="center"/>
          </w:tcPr>
          <w:p>
            <w:pPr>
              <w:jc w:val="center"/>
              <w:rPr>
                <w:lang w:val="en-US"/>
              </w:rPr>
            </w:pPr>
            <w:r>
              <w:rPr>
                <w:lang w:val="en-US"/>
              </w:rPr>
              <w:t>0.10</w:t>
            </w:r>
          </w:p>
        </w:tc>
        <w:tc>
          <w:tcPr>
            <w:tcW w:w="1701" w:type="dxa"/>
            <w:shd w:val="clear" w:color="auto" w:fill="auto"/>
            <w:noWrap w:val="0"/>
            <w:vAlign w:val="center"/>
          </w:tcPr>
          <w:p>
            <w:pPr>
              <w:jc w:val="center"/>
              <w:rPr>
                <w:lang w:val="en-US"/>
              </w:rPr>
            </w:pPr>
            <w:r>
              <w:rPr>
                <w:lang w:val="en-US"/>
              </w:rPr>
              <w:t>-0.05</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未命名(849A)</w:t>
            </w:r>
          </w:p>
        </w:tc>
        <w:tc>
          <w:tcPr>
            <w:tcW w:w="1276" w:type="dxa"/>
            <w:shd w:val="clear" w:color="auto" w:fill="auto"/>
            <w:noWrap w:val="0"/>
            <w:vAlign w:val="center"/>
          </w:tcPr>
          <w:p>
            <w:pPr>
              <w:jc w:val="center"/>
              <w:rPr>
                <w:lang w:val="en-US"/>
              </w:rPr>
            </w:pPr>
            <w:r>
              <w:rPr>
                <w:lang w:val="en-US"/>
              </w:rPr>
              <w:t>0.08</w:t>
            </w:r>
          </w:p>
        </w:tc>
        <w:tc>
          <w:tcPr>
            <w:tcW w:w="1276" w:type="dxa"/>
            <w:shd w:val="clear" w:color="auto" w:fill="auto"/>
            <w:noWrap w:val="0"/>
            <w:vAlign w:val="center"/>
          </w:tcPr>
          <w:p>
            <w:pPr>
              <w:jc w:val="center"/>
              <w:rPr>
                <w:lang w:val="en-US"/>
              </w:rPr>
            </w:pPr>
            <w:r>
              <w:rPr>
                <w:lang w:val="en-US"/>
              </w:rPr>
              <w:t>0.04</w:t>
            </w:r>
          </w:p>
        </w:tc>
        <w:tc>
          <w:tcPr>
            <w:tcW w:w="1701" w:type="dxa"/>
            <w:shd w:val="clear" w:color="auto" w:fill="auto"/>
            <w:noWrap w:val="0"/>
            <w:vAlign w:val="center"/>
          </w:tcPr>
          <w:p>
            <w:pPr>
              <w:jc w:val="center"/>
              <w:rPr>
                <w:lang w:val="en-US"/>
              </w:rPr>
            </w:pPr>
            <w:r>
              <w:rPr>
                <w:lang w:val="en-US"/>
              </w:rPr>
              <w:t>0.04</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未命名(849D)</w:t>
            </w:r>
          </w:p>
        </w:tc>
        <w:tc>
          <w:tcPr>
            <w:tcW w:w="1276" w:type="dxa"/>
            <w:shd w:val="clear" w:color="auto" w:fill="auto"/>
            <w:noWrap w:val="0"/>
            <w:vAlign w:val="center"/>
          </w:tcPr>
          <w:p>
            <w:pPr>
              <w:jc w:val="center"/>
              <w:rPr>
                <w:lang w:val="en-US"/>
              </w:rPr>
            </w:pPr>
            <w:r>
              <w:rPr>
                <w:lang w:val="en-US"/>
              </w:rPr>
              <w:t>0.16</w:t>
            </w:r>
          </w:p>
        </w:tc>
        <w:tc>
          <w:tcPr>
            <w:tcW w:w="1276" w:type="dxa"/>
            <w:shd w:val="clear" w:color="auto" w:fill="auto"/>
            <w:noWrap w:val="0"/>
            <w:vAlign w:val="center"/>
          </w:tcPr>
          <w:p>
            <w:pPr>
              <w:jc w:val="center"/>
              <w:rPr>
                <w:lang w:val="en-US"/>
              </w:rPr>
            </w:pPr>
            <w:r>
              <w:rPr>
                <w:lang w:val="en-US"/>
              </w:rPr>
              <w:t>0.12</w:t>
            </w:r>
          </w:p>
        </w:tc>
        <w:tc>
          <w:tcPr>
            <w:tcW w:w="1701" w:type="dxa"/>
            <w:shd w:val="clear" w:color="auto" w:fill="auto"/>
            <w:noWrap w:val="0"/>
            <w:vAlign w:val="center"/>
          </w:tcPr>
          <w:p>
            <w:pPr>
              <w:jc w:val="center"/>
              <w:rPr>
                <w:lang w:val="en-US"/>
              </w:rPr>
            </w:pPr>
            <w:r>
              <w:rPr>
                <w:lang w:val="en-US"/>
              </w:rPr>
              <w:t>0.04</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未命名(84A0)</w:t>
            </w:r>
          </w:p>
        </w:tc>
        <w:tc>
          <w:tcPr>
            <w:tcW w:w="1276" w:type="dxa"/>
            <w:shd w:val="clear" w:color="auto" w:fill="auto"/>
            <w:noWrap w:val="0"/>
            <w:vAlign w:val="center"/>
          </w:tcPr>
          <w:p>
            <w:pPr>
              <w:jc w:val="center"/>
              <w:rPr>
                <w:lang w:val="en-US"/>
              </w:rPr>
            </w:pPr>
            <w:r>
              <w:rPr>
                <w:lang w:val="en-US"/>
              </w:rPr>
              <w:t>0.11</w:t>
            </w:r>
          </w:p>
        </w:tc>
        <w:tc>
          <w:tcPr>
            <w:tcW w:w="1276" w:type="dxa"/>
            <w:shd w:val="clear" w:color="auto" w:fill="auto"/>
            <w:noWrap w:val="0"/>
            <w:vAlign w:val="center"/>
          </w:tcPr>
          <w:p>
            <w:pPr>
              <w:jc w:val="center"/>
              <w:rPr>
                <w:lang w:val="en-US"/>
              </w:rPr>
            </w:pPr>
            <w:r>
              <w:rPr>
                <w:lang w:val="en-US"/>
              </w:rPr>
              <w:t>0.02</w:t>
            </w:r>
          </w:p>
        </w:tc>
        <w:tc>
          <w:tcPr>
            <w:tcW w:w="1701" w:type="dxa"/>
            <w:shd w:val="clear" w:color="auto" w:fill="auto"/>
            <w:noWrap w:val="0"/>
            <w:vAlign w:val="center"/>
          </w:tcPr>
          <w:p>
            <w:pPr>
              <w:jc w:val="center"/>
              <w:rPr>
                <w:lang w:val="en-US"/>
              </w:rPr>
            </w:pPr>
            <w:r>
              <w:rPr>
                <w:lang w:val="en-US"/>
              </w:rPr>
              <w:t>0.09</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未命名(84A3)</w:t>
            </w:r>
          </w:p>
        </w:tc>
        <w:tc>
          <w:tcPr>
            <w:tcW w:w="1276" w:type="dxa"/>
            <w:shd w:val="clear" w:color="auto" w:fill="auto"/>
            <w:noWrap w:val="0"/>
            <w:vAlign w:val="center"/>
          </w:tcPr>
          <w:p>
            <w:pPr>
              <w:jc w:val="center"/>
              <w:rPr>
                <w:lang w:val="en-US"/>
              </w:rPr>
            </w:pPr>
            <w:r>
              <w:rPr>
                <w:lang w:val="en-US"/>
              </w:rPr>
              <w:t>0.10</w:t>
            </w:r>
          </w:p>
        </w:tc>
        <w:tc>
          <w:tcPr>
            <w:tcW w:w="1276" w:type="dxa"/>
            <w:shd w:val="clear" w:color="auto" w:fill="auto"/>
            <w:noWrap w:val="0"/>
            <w:vAlign w:val="center"/>
          </w:tcPr>
          <w:p>
            <w:pPr>
              <w:jc w:val="center"/>
              <w:rPr>
                <w:lang w:val="en-US"/>
              </w:rPr>
            </w:pPr>
            <w:r>
              <w:rPr>
                <w:lang w:val="en-US"/>
              </w:rPr>
              <w:t>0.03</w:t>
            </w:r>
          </w:p>
        </w:tc>
        <w:tc>
          <w:tcPr>
            <w:tcW w:w="1701" w:type="dxa"/>
            <w:shd w:val="clear" w:color="auto" w:fill="auto"/>
            <w:noWrap w:val="0"/>
            <w:vAlign w:val="center"/>
          </w:tcPr>
          <w:p>
            <w:pPr>
              <w:jc w:val="center"/>
              <w:rPr>
                <w:lang w:val="en-US"/>
              </w:rPr>
            </w:pPr>
            <w:r>
              <w:rPr>
                <w:lang w:val="en-US"/>
              </w:rPr>
              <w:t>0.07</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未命名(84A6)</w:t>
            </w:r>
          </w:p>
        </w:tc>
        <w:tc>
          <w:tcPr>
            <w:tcW w:w="1276" w:type="dxa"/>
            <w:shd w:val="clear" w:color="auto" w:fill="auto"/>
            <w:noWrap w:val="0"/>
            <w:vAlign w:val="center"/>
          </w:tcPr>
          <w:p>
            <w:pPr>
              <w:jc w:val="center"/>
              <w:rPr>
                <w:lang w:val="en-US"/>
              </w:rPr>
            </w:pPr>
            <w:r>
              <w:rPr>
                <w:lang w:val="en-US"/>
              </w:rPr>
              <w:t>0.19</w:t>
            </w:r>
          </w:p>
        </w:tc>
        <w:tc>
          <w:tcPr>
            <w:tcW w:w="1276" w:type="dxa"/>
            <w:shd w:val="clear" w:color="auto" w:fill="auto"/>
            <w:noWrap w:val="0"/>
            <w:vAlign w:val="center"/>
          </w:tcPr>
          <w:p>
            <w:pPr>
              <w:jc w:val="center"/>
              <w:rPr>
                <w:lang w:val="en-US"/>
              </w:rPr>
            </w:pPr>
            <w:r>
              <w:rPr>
                <w:lang w:val="en-US"/>
              </w:rPr>
              <w:t>0.12</w:t>
            </w:r>
          </w:p>
        </w:tc>
        <w:tc>
          <w:tcPr>
            <w:tcW w:w="1701" w:type="dxa"/>
            <w:shd w:val="clear" w:color="auto" w:fill="auto"/>
            <w:noWrap w:val="0"/>
            <w:vAlign w:val="center"/>
          </w:tcPr>
          <w:p>
            <w:pPr>
              <w:jc w:val="center"/>
              <w:rPr>
                <w:lang w:val="en-US"/>
              </w:rPr>
            </w:pPr>
            <w:r>
              <w:rPr>
                <w:lang w:val="en-US"/>
              </w:rPr>
              <w:t>0.07</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未命名(84A9)</w:t>
            </w:r>
          </w:p>
        </w:tc>
        <w:tc>
          <w:tcPr>
            <w:tcW w:w="1276" w:type="dxa"/>
            <w:shd w:val="clear" w:color="auto" w:fill="auto"/>
            <w:noWrap w:val="0"/>
            <w:vAlign w:val="center"/>
          </w:tcPr>
          <w:p>
            <w:pPr>
              <w:jc w:val="center"/>
              <w:rPr>
                <w:lang w:val="en-US"/>
              </w:rPr>
            </w:pPr>
            <w:r>
              <w:rPr>
                <w:lang w:val="en-US"/>
              </w:rPr>
              <w:t>0.24</w:t>
            </w:r>
          </w:p>
        </w:tc>
        <w:tc>
          <w:tcPr>
            <w:tcW w:w="1276" w:type="dxa"/>
            <w:shd w:val="clear" w:color="auto" w:fill="auto"/>
            <w:noWrap w:val="0"/>
            <w:vAlign w:val="center"/>
          </w:tcPr>
          <w:p>
            <w:pPr>
              <w:jc w:val="center"/>
              <w:rPr>
                <w:lang w:val="en-US"/>
              </w:rPr>
            </w:pPr>
            <w:r>
              <w:rPr>
                <w:lang w:val="en-US"/>
              </w:rPr>
              <w:t>0.09</w:t>
            </w:r>
          </w:p>
        </w:tc>
        <w:tc>
          <w:tcPr>
            <w:tcW w:w="1701" w:type="dxa"/>
            <w:shd w:val="clear" w:color="auto" w:fill="auto"/>
            <w:noWrap w:val="0"/>
            <w:vAlign w:val="center"/>
          </w:tcPr>
          <w:p>
            <w:pPr>
              <w:jc w:val="center"/>
              <w:rPr>
                <w:lang w:val="en-US"/>
              </w:rPr>
            </w:pPr>
            <w:r>
              <w:rPr>
                <w:lang w:val="en-US"/>
              </w:rPr>
              <w:t>0.16</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未命名(84C0)</w:t>
            </w:r>
          </w:p>
        </w:tc>
        <w:tc>
          <w:tcPr>
            <w:tcW w:w="1276" w:type="dxa"/>
            <w:shd w:val="clear" w:color="auto" w:fill="auto"/>
            <w:noWrap w:val="0"/>
            <w:vAlign w:val="center"/>
          </w:tcPr>
          <w:p>
            <w:pPr>
              <w:jc w:val="center"/>
              <w:rPr>
                <w:lang w:val="en-US"/>
              </w:rPr>
            </w:pPr>
            <w:r>
              <w:rPr>
                <w:lang w:val="en-US"/>
              </w:rPr>
              <w:t>-0.11</w:t>
            </w:r>
          </w:p>
        </w:tc>
        <w:tc>
          <w:tcPr>
            <w:tcW w:w="1276" w:type="dxa"/>
            <w:shd w:val="clear" w:color="auto" w:fill="auto"/>
            <w:noWrap w:val="0"/>
            <w:vAlign w:val="center"/>
          </w:tcPr>
          <w:p>
            <w:pPr>
              <w:jc w:val="center"/>
              <w:rPr>
                <w:lang w:val="en-US"/>
              </w:rPr>
            </w:pPr>
            <w:r>
              <w:rPr>
                <w:lang w:val="en-US"/>
              </w:rPr>
              <w:t>-0.11</w:t>
            </w:r>
          </w:p>
        </w:tc>
        <w:tc>
          <w:tcPr>
            <w:tcW w:w="1701" w:type="dxa"/>
            <w:shd w:val="clear" w:color="auto" w:fill="auto"/>
            <w:noWrap w:val="0"/>
            <w:vAlign w:val="center"/>
          </w:tcPr>
          <w:p>
            <w:pPr>
              <w:jc w:val="center"/>
              <w:rPr>
                <w:lang w:val="en-US"/>
              </w:rPr>
            </w:pPr>
            <w:r>
              <w:rPr>
                <w:lang w:val="en-US"/>
              </w:rPr>
              <w:t>0.00</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未命名(84C3)</w:t>
            </w:r>
          </w:p>
        </w:tc>
        <w:tc>
          <w:tcPr>
            <w:tcW w:w="1276" w:type="dxa"/>
            <w:shd w:val="clear" w:color="auto" w:fill="auto"/>
            <w:noWrap w:val="0"/>
            <w:vAlign w:val="center"/>
          </w:tcPr>
          <w:p>
            <w:pPr>
              <w:jc w:val="center"/>
              <w:rPr>
                <w:lang w:val="en-US"/>
              </w:rPr>
            </w:pPr>
            <w:r>
              <w:rPr>
                <w:lang w:val="en-US"/>
              </w:rPr>
              <w:t>-0.11</w:t>
            </w:r>
          </w:p>
        </w:tc>
        <w:tc>
          <w:tcPr>
            <w:tcW w:w="1276" w:type="dxa"/>
            <w:shd w:val="clear" w:color="auto" w:fill="auto"/>
            <w:noWrap w:val="0"/>
            <w:vAlign w:val="center"/>
          </w:tcPr>
          <w:p>
            <w:pPr>
              <w:jc w:val="center"/>
              <w:rPr>
                <w:lang w:val="en-US"/>
              </w:rPr>
            </w:pPr>
            <w:r>
              <w:rPr>
                <w:lang w:val="en-US"/>
              </w:rPr>
              <w:t>-0.08</w:t>
            </w:r>
          </w:p>
        </w:tc>
        <w:tc>
          <w:tcPr>
            <w:tcW w:w="1701" w:type="dxa"/>
            <w:shd w:val="clear" w:color="auto" w:fill="auto"/>
            <w:noWrap w:val="0"/>
            <w:vAlign w:val="center"/>
          </w:tcPr>
          <w:p>
            <w:pPr>
              <w:jc w:val="center"/>
              <w:rPr>
                <w:lang w:val="en-US"/>
              </w:rPr>
            </w:pPr>
            <w:r>
              <w:rPr>
                <w:lang w:val="en-US"/>
              </w:rPr>
              <w:t>-0.02</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未命名(84C6)</w:t>
            </w:r>
          </w:p>
        </w:tc>
        <w:tc>
          <w:tcPr>
            <w:tcW w:w="1276" w:type="dxa"/>
            <w:shd w:val="clear" w:color="auto" w:fill="auto"/>
            <w:noWrap w:val="0"/>
            <w:vAlign w:val="center"/>
          </w:tcPr>
          <w:p>
            <w:pPr>
              <w:jc w:val="center"/>
              <w:rPr>
                <w:lang w:val="en-US"/>
              </w:rPr>
            </w:pPr>
            <w:r>
              <w:rPr>
                <w:lang w:val="en-US"/>
              </w:rPr>
              <w:t>-0.09</w:t>
            </w:r>
          </w:p>
        </w:tc>
        <w:tc>
          <w:tcPr>
            <w:tcW w:w="1276" w:type="dxa"/>
            <w:shd w:val="clear" w:color="auto" w:fill="auto"/>
            <w:noWrap w:val="0"/>
            <w:vAlign w:val="center"/>
          </w:tcPr>
          <w:p>
            <w:pPr>
              <w:jc w:val="center"/>
              <w:rPr>
                <w:lang w:val="en-US"/>
              </w:rPr>
            </w:pPr>
            <w:r>
              <w:rPr>
                <w:lang w:val="en-US"/>
              </w:rPr>
              <w:t>-0.04</w:t>
            </w:r>
          </w:p>
        </w:tc>
        <w:tc>
          <w:tcPr>
            <w:tcW w:w="1701" w:type="dxa"/>
            <w:shd w:val="clear" w:color="auto" w:fill="auto"/>
            <w:noWrap w:val="0"/>
            <w:vAlign w:val="center"/>
          </w:tcPr>
          <w:p>
            <w:pPr>
              <w:jc w:val="center"/>
              <w:rPr>
                <w:lang w:val="en-US"/>
              </w:rPr>
            </w:pPr>
            <w:r>
              <w:rPr>
                <w:lang w:val="en-US"/>
              </w:rPr>
              <w:t>-0.05</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未命名(84C9)</w:t>
            </w:r>
          </w:p>
        </w:tc>
        <w:tc>
          <w:tcPr>
            <w:tcW w:w="1276" w:type="dxa"/>
            <w:shd w:val="clear" w:color="auto" w:fill="auto"/>
            <w:noWrap w:val="0"/>
            <w:vAlign w:val="center"/>
          </w:tcPr>
          <w:p>
            <w:pPr>
              <w:jc w:val="center"/>
              <w:rPr>
                <w:lang w:val="en-US"/>
              </w:rPr>
            </w:pPr>
            <w:r>
              <w:rPr>
                <w:lang w:val="en-US"/>
              </w:rPr>
              <w:t>-0.07</w:t>
            </w:r>
          </w:p>
        </w:tc>
        <w:tc>
          <w:tcPr>
            <w:tcW w:w="1276" w:type="dxa"/>
            <w:shd w:val="clear" w:color="auto" w:fill="auto"/>
            <w:noWrap w:val="0"/>
            <w:vAlign w:val="center"/>
          </w:tcPr>
          <w:p>
            <w:pPr>
              <w:jc w:val="center"/>
              <w:rPr>
                <w:lang w:val="en-US"/>
              </w:rPr>
            </w:pPr>
            <w:r>
              <w:rPr>
                <w:lang w:val="en-US"/>
              </w:rPr>
              <w:t>-0.01</w:t>
            </w:r>
          </w:p>
        </w:tc>
        <w:tc>
          <w:tcPr>
            <w:tcW w:w="1701" w:type="dxa"/>
            <w:shd w:val="clear" w:color="auto" w:fill="auto"/>
            <w:noWrap w:val="0"/>
            <w:vAlign w:val="center"/>
          </w:tcPr>
          <w:p>
            <w:pPr>
              <w:jc w:val="center"/>
              <w:rPr>
                <w:lang w:val="en-US"/>
              </w:rPr>
            </w:pPr>
            <w:r>
              <w:rPr>
                <w:lang w:val="en-US"/>
              </w:rPr>
              <w:t>-0.05</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未命名(84CC)</w:t>
            </w:r>
          </w:p>
        </w:tc>
        <w:tc>
          <w:tcPr>
            <w:tcW w:w="1276" w:type="dxa"/>
            <w:shd w:val="clear" w:color="auto" w:fill="auto"/>
            <w:noWrap w:val="0"/>
            <w:vAlign w:val="center"/>
          </w:tcPr>
          <w:p>
            <w:pPr>
              <w:jc w:val="center"/>
              <w:rPr>
                <w:lang w:val="en-US"/>
              </w:rPr>
            </w:pPr>
            <w:r>
              <w:rPr>
                <w:lang w:val="en-US"/>
              </w:rPr>
              <w:t>-0.08</w:t>
            </w:r>
          </w:p>
        </w:tc>
        <w:tc>
          <w:tcPr>
            <w:tcW w:w="1276" w:type="dxa"/>
            <w:shd w:val="clear" w:color="auto" w:fill="auto"/>
            <w:noWrap w:val="0"/>
            <w:vAlign w:val="center"/>
          </w:tcPr>
          <w:p>
            <w:pPr>
              <w:jc w:val="center"/>
              <w:rPr>
                <w:lang w:val="en-US"/>
              </w:rPr>
            </w:pPr>
            <w:r>
              <w:rPr>
                <w:lang w:val="en-US"/>
              </w:rPr>
              <w:t>0.01</w:t>
            </w:r>
          </w:p>
        </w:tc>
        <w:tc>
          <w:tcPr>
            <w:tcW w:w="1701" w:type="dxa"/>
            <w:shd w:val="clear" w:color="auto" w:fill="auto"/>
            <w:noWrap w:val="0"/>
            <w:vAlign w:val="center"/>
          </w:tcPr>
          <w:p>
            <w:pPr>
              <w:jc w:val="center"/>
              <w:rPr>
                <w:lang w:val="en-US"/>
              </w:rPr>
            </w:pPr>
            <w:r>
              <w:rPr>
                <w:lang w:val="en-US"/>
              </w:rPr>
              <w:t>-0.09</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未命名(84D6)</w:t>
            </w:r>
          </w:p>
        </w:tc>
        <w:tc>
          <w:tcPr>
            <w:tcW w:w="1276" w:type="dxa"/>
            <w:shd w:val="clear" w:color="auto" w:fill="auto"/>
            <w:noWrap w:val="0"/>
            <w:vAlign w:val="center"/>
          </w:tcPr>
          <w:p>
            <w:pPr>
              <w:jc w:val="center"/>
              <w:rPr>
                <w:lang w:val="en-US"/>
              </w:rPr>
            </w:pPr>
            <w:r>
              <w:rPr>
                <w:lang w:val="en-US"/>
              </w:rPr>
              <w:t>-0.01</w:t>
            </w:r>
          </w:p>
        </w:tc>
        <w:tc>
          <w:tcPr>
            <w:tcW w:w="1276" w:type="dxa"/>
            <w:shd w:val="clear" w:color="auto" w:fill="auto"/>
            <w:noWrap w:val="0"/>
            <w:vAlign w:val="center"/>
          </w:tcPr>
          <w:p>
            <w:pPr>
              <w:jc w:val="center"/>
              <w:rPr>
                <w:lang w:val="en-US"/>
              </w:rPr>
            </w:pPr>
            <w:r>
              <w:rPr>
                <w:lang w:val="en-US"/>
              </w:rPr>
              <w:t>-0.15</w:t>
            </w:r>
          </w:p>
        </w:tc>
        <w:tc>
          <w:tcPr>
            <w:tcW w:w="1701" w:type="dxa"/>
            <w:shd w:val="clear" w:color="auto" w:fill="auto"/>
            <w:noWrap w:val="0"/>
            <w:vAlign w:val="center"/>
          </w:tcPr>
          <w:p>
            <w:pPr>
              <w:jc w:val="center"/>
              <w:rPr>
                <w:lang w:val="en-US"/>
              </w:rPr>
            </w:pPr>
            <w:r>
              <w:rPr>
                <w:lang w:val="en-US"/>
              </w:rPr>
              <w:t>0.14</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未命名(84DC)</w:t>
            </w:r>
          </w:p>
        </w:tc>
        <w:tc>
          <w:tcPr>
            <w:tcW w:w="1276" w:type="dxa"/>
            <w:shd w:val="clear" w:color="auto" w:fill="auto"/>
            <w:noWrap w:val="0"/>
            <w:vAlign w:val="center"/>
          </w:tcPr>
          <w:p>
            <w:pPr>
              <w:jc w:val="center"/>
              <w:rPr>
                <w:lang w:val="en-US"/>
              </w:rPr>
            </w:pPr>
            <w:r>
              <w:rPr>
                <w:lang w:val="en-US"/>
              </w:rPr>
              <w:t>0.17</w:t>
            </w:r>
          </w:p>
        </w:tc>
        <w:tc>
          <w:tcPr>
            <w:tcW w:w="1276" w:type="dxa"/>
            <w:shd w:val="clear" w:color="auto" w:fill="auto"/>
            <w:noWrap w:val="0"/>
            <w:vAlign w:val="center"/>
          </w:tcPr>
          <w:p>
            <w:pPr>
              <w:jc w:val="center"/>
              <w:rPr>
                <w:lang w:val="en-US"/>
              </w:rPr>
            </w:pPr>
            <w:r>
              <w:rPr>
                <w:lang w:val="en-US"/>
              </w:rPr>
              <w:t>0.12</w:t>
            </w:r>
          </w:p>
        </w:tc>
        <w:tc>
          <w:tcPr>
            <w:tcW w:w="1701" w:type="dxa"/>
            <w:shd w:val="clear" w:color="auto" w:fill="auto"/>
            <w:noWrap w:val="0"/>
            <w:vAlign w:val="center"/>
          </w:tcPr>
          <w:p>
            <w:pPr>
              <w:jc w:val="center"/>
              <w:rPr>
                <w:lang w:val="en-US"/>
              </w:rPr>
            </w:pPr>
            <w:r>
              <w:rPr>
                <w:lang w:val="en-US"/>
              </w:rPr>
              <w:t>0.05</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未命名(84DF)</w:t>
            </w:r>
          </w:p>
        </w:tc>
        <w:tc>
          <w:tcPr>
            <w:tcW w:w="1276" w:type="dxa"/>
            <w:shd w:val="clear" w:color="auto" w:fill="auto"/>
            <w:noWrap w:val="0"/>
            <w:vAlign w:val="center"/>
          </w:tcPr>
          <w:p>
            <w:pPr>
              <w:jc w:val="center"/>
              <w:rPr>
                <w:lang w:val="en-US"/>
              </w:rPr>
            </w:pPr>
            <w:r>
              <w:rPr>
                <w:lang w:val="en-US"/>
              </w:rPr>
              <w:t>0.06</w:t>
            </w:r>
          </w:p>
        </w:tc>
        <w:tc>
          <w:tcPr>
            <w:tcW w:w="1276" w:type="dxa"/>
            <w:shd w:val="clear" w:color="auto" w:fill="auto"/>
            <w:noWrap w:val="0"/>
            <w:vAlign w:val="center"/>
          </w:tcPr>
          <w:p>
            <w:pPr>
              <w:jc w:val="center"/>
              <w:rPr>
                <w:lang w:val="en-US"/>
              </w:rPr>
            </w:pPr>
            <w:r>
              <w:rPr>
                <w:lang w:val="en-US"/>
              </w:rPr>
              <w:t>0.06</w:t>
            </w:r>
          </w:p>
        </w:tc>
        <w:tc>
          <w:tcPr>
            <w:tcW w:w="1701" w:type="dxa"/>
            <w:shd w:val="clear" w:color="auto" w:fill="auto"/>
            <w:noWrap w:val="0"/>
            <w:vAlign w:val="center"/>
          </w:tcPr>
          <w:p>
            <w:pPr>
              <w:jc w:val="center"/>
              <w:rPr>
                <w:lang w:val="en-US"/>
              </w:rPr>
            </w:pPr>
            <w:r>
              <w:rPr>
                <w:lang w:val="en-US"/>
              </w:rPr>
              <w:t>-0.00</w:t>
            </w:r>
          </w:p>
        </w:tc>
        <w:tc>
          <w:tcPr>
            <w:tcW w:w="973" w:type="dxa"/>
            <w:shd w:val="clear" w:color="auto" w:fill="auto"/>
            <w:noWrap w:val="0"/>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noWrap w:val="0"/>
            <w:vAlign w:val="center"/>
          </w:tcPr>
          <w:p>
            <w:pPr>
              <w:jc w:val="center"/>
              <w:rPr>
                <w:lang w:val="en-US"/>
              </w:rPr>
            </w:pPr>
            <w:r>
              <w:rPr>
                <w:lang w:val="en-US"/>
              </w:rPr>
              <w:t>未命名(84E2)</w:t>
            </w:r>
          </w:p>
        </w:tc>
        <w:tc>
          <w:tcPr>
            <w:tcW w:w="1276" w:type="dxa"/>
            <w:shd w:val="clear" w:color="auto" w:fill="auto"/>
            <w:noWrap w:val="0"/>
            <w:vAlign w:val="center"/>
          </w:tcPr>
          <w:p>
            <w:pPr>
              <w:jc w:val="center"/>
              <w:rPr>
                <w:lang w:val="en-US"/>
              </w:rPr>
            </w:pPr>
            <w:r>
              <w:rPr>
                <w:lang w:val="en-US"/>
              </w:rPr>
              <w:t>0.14</w:t>
            </w:r>
          </w:p>
        </w:tc>
        <w:tc>
          <w:tcPr>
            <w:tcW w:w="1276" w:type="dxa"/>
            <w:shd w:val="clear" w:color="auto" w:fill="auto"/>
            <w:noWrap w:val="0"/>
            <w:vAlign w:val="center"/>
          </w:tcPr>
          <w:p>
            <w:pPr>
              <w:jc w:val="center"/>
              <w:rPr>
                <w:lang w:val="en-US"/>
              </w:rPr>
            </w:pPr>
            <w:r>
              <w:rPr>
                <w:lang w:val="en-US"/>
              </w:rPr>
              <w:t>0.13</w:t>
            </w:r>
          </w:p>
        </w:tc>
        <w:tc>
          <w:tcPr>
            <w:tcW w:w="1701" w:type="dxa"/>
            <w:shd w:val="clear" w:color="auto" w:fill="auto"/>
            <w:noWrap w:val="0"/>
            <w:vAlign w:val="center"/>
          </w:tcPr>
          <w:p>
            <w:pPr>
              <w:jc w:val="center"/>
              <w:rPr>
                <w:lang w:val="en-US"/>
              </w:rPr>
            </w:pPr>
            <w:r>
              <w:rPr>
                <w:lang w:val="en-US"/>
              </w:rPr>
              <w:t>0.00</w:t>
            </w:r>
          </w:p>
        </w:tc>
        <w:tc>
          <w:tcPr>
            <w:tcW w:w="973" w:type="dxa"/>
            <w:shd w:val="clear" w:color="auto" w:fill="auto"/>
            <w:noWrap w:val="0"/>
            <w:vAlign w:val="center"/>
          </w:tcPr>
          <w:p>
            <w:pPr>
              <w:jc w:val="center"/>
              <w:rPr>
                <w:lang w:val="en-US"/>
              </w:rPr>
            </w:pPr>
            <w:r>
              <w:rPr>
                <w:lang w:val="en-US"/>
              </w:rPr>
              <w:t>是</w:t>
            </w:r>
          </w:p>
        </w:tc>
      </w:tr>
      <w:bookmarkEnd w:id="101"/>
    </w:tbl>
    <w:p>
      <w:pPr>
        <w:rPr>
          <w:lang w:val="en-US"/>
        </w:rPr>
      </w:pPr>
      <w:bookmarkStart w:id="102" w:name="建筑迎风和背风面风压差结论汇总结论"/>
      <w:bookmarkEnd w:id="102"/>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03" w:name="冬季工况"/>
      <w:bookmarkEnd w:id="103"/>
      <w:r>
        <w:rPr>
          <w:rFonts w:hint="eastAsia"/>
          <w:lang w:val="en-US"/>
        </w:rPr>
        <w:t xml:space="preserve"> </w:t>
      </w:r>
    </w:p>
    <w:p>
      <w:pPr>
        <w:pStyle w:val="4"/>
      </w:pPr>
      <w:bookmarkStart w:id="104" w:name="季节1"/>
      <w:bookmarkStart w:id="105" w:name="_Toc92121770"/>
      <w:bookmarkStart w:id="106" w:name="_Toc509844759"/>
      <w:r>
        <w:rPr>
          <w:rFonts w:hint="eastAsia"/>
        </w:rPr>
        <w:t>夏季</w:t>
      </w:r>
      <w:bookmarkEnd w:id="104"/>
      <w:r>
        <w:rPr>
          <w:rFonts w:hint="eastAsia"/>
        </w:rPr>
        <w:t>工况</w:t>
      </w:r>
      <w:bookmarkEnd w:id="105"/>
      <w:bookmarkEnd w:id="106"/>
    </w:p>
    <w:p>
      <w:pPr>
        <w:pStyle w:val="3"/>
        <w:ind w:firstLine="420"/>
      </w:pPr>
      <w:r>
        <w:rPr>
          <w:rFonts w:hint="eastAsia"/>
          <w:lang w:val="en-US"/>
        </w:rPr>
        <w:t>本项目</w:t>
      </w:r>
      <w:bookmarkStart w:id="107" w:name="季节2"/>
      <w:r>
        <w:rPr>
          <w:rFonts w:hint="eastAsia"/>
          <w:lang w:val="en-US"/>
        </w:rPr>
        <w:t>夏季</w:t>
      </w:r>
      <w:bookmarkEnd w:id="107"/>
      <w:r>
        <w:rPr>
          <w:rFonts w:hint="eastAsia"/>
          <w:lang w:val="en-US"/>
        </w:rPr>
        <w:t>工况的入口边界风速为</w:t>
      </w:r>
      <w:bookmarkStart w:id="108" w:name="入口边界风速"/>
      <w:r>
        <w:rPr>
          <w:rFonts w:hint="eastAsia"/>
          <w:lang w:val="en-US"/>
        </w:rPr>
        <w:t>3.00</w:t>
      </w:r>
      <w:bookmarkEnd w:id="108"/>
      <w:r>
        <w:rPr>
          <w:rFonts w:hint="eastAsia"/>
          <w:lang w:val="en-US"/>
        </w:rPr>
        <w:t>m/s，风向为</w:t>
      </w:r>
      <w:bookmarkStart w:id="109" w:name="入口边界风向"/>
      <w:r>
        <w:t>SSW</w:t>
      </w:r>
      <w:bookmarkEnd w:id="109"/>
      <w:r>
        <w:rPr>
          <w:rFonts w:hint="eastAsia"/>
          <w:lang w:val="en-US"/>
        </w:rPr>
        <w:t>。</w:t>
      </w:r>
    </w:p>
    <w:p>
      <w:pPr>
        <w:pStyle w:val="3"/>
        <w:ind w:firstLine="420"/>
      </w:pPr>
      <w:r>
        <w:rPr>
          <w:rFonts w:hint="eastAsia"/>
          <w:lang w:val="en-US"/>
        </w:rPr>
        <w:t>根据前述《绿色建筑评价标准》 对于夏季工况的要求，</w:t>
      </w:r>
      <w:bookmarkStart w:id="110" w:name="季节3"/>
      <w:r>
        <w:rPr>
          <w:rFonts w:hint="eastAsia"/>
          <w:lang w:val="en-US"/>
        </w:rPr>
        <w:t>夏季</w:t>
      </w:r>
      <w:bookmarkEnd w:id="110"/>
      <w:r>
        <w:rPr>
          <w:rFonts w:hint="eastAsia"/>
          <w:lang w:val="en-US"/>
        </w:rPr>
        <w:t>典型风速和风向条件下，场地内人活动区不出现涡旋或无风区。通过该项标准指导设计确保合理的建筑布局，在</w:t>
      </w:r>
      <w:bookmarkStart w:id="111" w:name="季节4"/>
      <w:r>
        <w:rPr>
          <w:rFonts w:hint="eastAsia"/>
          <w:lang w:val="en-US"/>
        </w:rPr>
        <w:t>夏季</w:t>
      </w:r>
      <w:bookmarkEnd w:id="111"/>
      <w:r>
        <w:rPr>
          <w:rFonts w:hint="eastAsia"/>
          <w:lang w:val="en-US"/>
        </w:rPr>
        <w:t>形成有效的巷道风，优化街区自然通风环境，避免</w:t>
      </w:r>
      <w:bookmarkStart w:id="112" w:name="季节5"/>
      <w:r>
        <w:rPr>
          <w:rFonts w:hint="eastAsia"/>
          <w:lang w:val="en-US"/>
        </w:rPr>
        <w:t>夏季</w:t>
      </w:r>
      <w:bookmarkEnd w:id="112"/>
      <w:r>
        <w:rPr>
          <w:rFonts w:hint="eastAsia"/>
          <w:lang w:val="en-US"/>
        </w:rPr>
        <w:t>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rPr>
          <w:rFonts w:ascii="黑体" w:hAnsi="黑体" w:eastAsia="黑体"/>
          <w:sz w:val="20"/>
          <w:szCs w:val="20"/>
        </w:rPr>
      </w:pPr>
      <w:r>
        <w:rPr>
          <w:rFonts w:hint="eastAsia" w:ascii="黑体" w:hAnsi="黑体" w:eastAsia="黑体"/>
          <w:sz w:val="20"/>
          <w:szCs w:val="20"/>
          <w:lang w:val="en-US"/>
        </w:rPr>
        <w:t>注：无风区的定义参考《</w:t>
      </w:r>
      <w:r>
        <w:rPr>
          <w:rFonts w:hint="eastAsia" w:ascii="黑体" w:hAnsi="黑体" w:eastAsia="黑体"/>
          <w:sz w:val="20"/>
          <w:szCs w:val="20"/>
        </w:rPr>
        <w:t>建筑设计资料集</w:t>
      </w:r>
      <w:r>
        <w:rPr>
          <w:rFonts w:hint="eastAsia" w:ascii="黑体" w:hAnsi="黑体" w:eastAsia="黑体"/>
          <w:sz w:val="20"/>
          <w:szCs w:val="20"/>
          <w:lang w:val="en-US"/>
        </w:rPr>
        <w:t>》第一分册，第二版。</w:t>
      </w:r>
    </w:p>
    <w:p>
      <w:pPr>
        <w:pStyle w:val="5"/>
      </w:pPr>
      <w:bookmarkStart w:id="113" w:name="_Toc509844760"/>
      <w:bookmarkStart w:id="114" w:name="_Toc92121771"/>
      <w:r>
        <w:rPr>
          <w:rFonts w:hint="eastAsia"/>
        </w:rPr>
        <w:t>无风区计算分析</w:t>
      </w:r>
      <w:bookmarkEnd w:id="113"/>
      <w:bookmarkEnd w:id="114"/>
    </w:p>
    <w:p>
      <w:pPr>
        <w:pStyle w:val="3"/>
        <w:tabs>
          <w:tab w:val="left" w:pos="426"/>
        </w:tabs>
        <w:ind w:firstLine="420"/>
      </w:pPr>
      <w:r>
        <w:rPr>
          <w:rFonts w:hint="eastAsia"/>
        </w:rPr>
        <w:t>下图为整个计算域内风速分布云图，参考图中速度分布可以对项目中建筑布局进行优化。分析下图，</w:t>
      </w:r>
      <w:bookmarkStart w:id="115" w:name="风速分析结论"/>
      <w:bookmarkEnd w:id="115"/>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ind w:firstLine="0"/>
        <w:jc w:val="center"/>
      </w:pPr>
      <w:bookmarkStart w:id="116" w:name="风速云图"/>
      <w:bookmarkEnd w:id="116"/>
      <w:r>
        <w:drawing>
          <wp:inline distT="0" distB="0" distL="0" distR="0">
            <wp:extent cx="5667375" cy="3486150"/>
            <wp:effectExtent l="0" t="0" r="0" b="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75"/>
                    <a:stretch>
                      <a:fillRect/>
                    </a:stretch>
                  </pic:blipFill>
                  <pic:spPr>
                    <a:xfrm>
                      <a:off x="0" y="0"/>
                      <a:ext cx="5667375" cy="3486150"/>
                    </a:xfrm>
                    <a:prstGeom prst="rect">
                      <a:avLst/>
                    </a:prstGeom>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w:t>
      </w:r>
      <w:bookmarkStart w:id="117" w:name="季节7"/>
      <w:r>
        <w:rPr>
          <w:rFonts w:hint="eastAsia" w:ascii="黑体" w:hAnsi="黑体" w:eastAsia="黑体"/>
          <w:sz w:val="20"/>
          <w:szCs w:val="20"/>
        </w:rPr>
        <w:t>夏季</w:t>
      </w:r>
      <w:bookmarkEnd w:id="117"/>
    </w:p>
    <w:p>
      <w:pPr>
        <w:pStyle w:val="5"/>
      </w:pPr>
      <w:bookmarkStart w:id="118" w:name="_Toc92121772"/>
      <w:bookmarkStart w:id="119" w:name="_Toc509844761"/>
      <w:r>
        <w:rPr>
          <w:rFonts w:hint="eastAsia"/>
        </w:rPr>
        <w:t>旋涡区分析</w:t>
      </w:r>
      <w:bookmarkEnd w:id="118"/>
      <w:bookmarkEnd w:id="119"/>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jc w:val="center"/>
        <w:rPr>
          <w:lang w:val="en-US"/>
        </w:rPr>
      </w:pPr>
      <w:bookmarkStart w:id="120" w:name="风速矢量图"/>
      <w:bookmarkEnd w:id="120"/>
      <w:r>
        <w:drawing>
          <wp:inline distT="0" distB="0" distL="0" distR="0">
            <wp:extent cx="5667375" cy="3667125"/>
            <wp:effectExtent l="0" t="0" r="0" b="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pic:cNvPicPr>
                  </pic:nvPicPr>
                  <pic:blipFill>
                    <a:blip r:embed="rId76"/>
                    <a:stretch>
                      <a:fillRect/>
                    </a:stretch>
                  </pic:blipFill>
                  <pic:spPr>
                    <a:xfrm>
                      <a:off x="0" y="0"/>
                      <a:ext cx="5667375" cy="3667125"/>
                    </a:xfrm>
                    <a:prstGeom prst="rect">
                      <a:avLst/>
                    </a:prstGeom>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121" w:name="_Toc92121773"/>
      <w:bookmarkStart w:id="122" w:name="_Toc509844762"/>
      <w:r>
        <w:rPr>
          <w:rFonts w:hint="eastAsia"/>
        </w:rPr>
        <w:t>人行区域旋涡区/无风区达标判定</w:t>
      </w:r>
      <w:bookmarkEnd w:id="121"/>
      <w:bookmarkEnd w:id="122"/>
    </w:p>
    <w:p>
      <w:pPr>
        <w:pStyle w:val="3"/>
        <w:ind w:firstLine="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3" w:name="季节8"/>
      <w:r>
        <w:rPr>
          <w:rFonts w:hint="eastAsia" w:ascii="黑体" w:hAnsi="黑体" w:eastAsia="黑体"/>
          <w:sz w:val="20"/>
          <w:szCs w:val="20"/>
        </w:rPr>
        <w:t>夏季</w:t>
      </w:r>
      <w:bookmarkEnd w:id="123"/>
      <w:r>
        <w:rPr>
          <w:rFonts w:hint="eastAsia" w:ascii="黑体" w:hAnsi="黑体" w:eastAsia="黑体"/>
          <w:sz w:val="20"/>
          <w:szCs w:val="20"/>
        </w:rPr>
        <w:t>无风区/旋涡区达标分析汇总</w:t>
      </w:r>
    </w:p>
    <w:tbl>
      <w:tblPr>
        <w:tblStyle w:val="3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 w:val="21"/>
                <w:szCs w:val="21"/>
              </w:rPr>
            </w:pPr>
            <w:r>
              <w:rPr>
                <w:rFonts w:hint="eastAsia" w:ascii="宋体" w:hAnsi="宋体" w:cs="宋体"/>
                <w:sz w:val="21"/>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 w:val="21"/>
                <w:szCs w:val="21"/>
              </w:rPr>
            </w:pPr>
            <w:r>
              <w:rPr>
                <w:rFonts w:hint="eastAsia" w:ascii="宋体" w:hAnsi="宋体" w:cs="宋体"/>
                <w:sz w:val="21"/>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24" w:name="是否有无风区"/>
            <w:r>
              <w:rPr>
                <w:rFonts w:hint="eastAsia" w:ascii="宋体" w:hAnsi="宋体" w:cs="宋体"/>
                <w:color w:val="FF0000"/>
                <w:sz w:val="22"/>
                <w:szCs w:val="22"/>
                <w:lang w:val="en-US"/>
              </w:rPr>
              <w:t>是</w:t>
            </w:r>
            <w:bookmarkEnd w:id="1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25" w:name="无风区达标判断"/>
            <w:r>
              <w:rPr>
                <w:rFonts w:hint="eastAsia" w:ascii="宋体" w:hAnsi="宋体" w:cs="宋体"/>
                <w:color w:val="FF0000"/>
                <w:sz w:val="22"/>
                <w:szCs w:val="22"/>
                <w:lang w:val="en-US"/>
              </w:rPr>
              <w:t>否</w:t>
            </w:r>
            <w:bookmarkEnd w:id="1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 w:val="21"/>
                <w:szCs w:val="21"/>
              </w:rPr>
            </w:pPr>
            <w:r>
              <w:rPr>
                <w:rFonts w:hint="eastAsia" w:ascii="宋体" w:hAnsi="宋体" w:cs="宋体"/>
                <w:sz w:val="21"/>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 w:val="21"/>
                <w:szCs w:val="21"/>
              </w:rPr>
            </w:pPr>
            <w:r>
              <w:rPr>
                <w:rFonts w:hint="eastAsia" w:ascii="宋体" w:hAnsi="宋体" w:cs="宋体"/>
                <w:sz w:val="21"/>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26" w:name="_Toc504501018"/>
      <w:bookmarkStart w:id="127" w:name="_Toc92121774"/>
      <w:bookmarkStart w:id="128" w:name="_Toc509844763"/>
      <w:r>
        <w:rPr>
          <w:rFonts w:hint="eastAsia"/>
        </w:rPr>
        <w:t>外窗内外表面风压</w:t>
      </w:r>
      <w:bookmarkEnd w:id="126"/>
      <w:r>
        <w:rPr>
          <w:rFonts w:hint="eastAsia"/>
        </w:rPr>
        <w:t>差达标分析</w:t>
      </w:r>
      <w:bookmarkEnd w:id="127"/>
      <w:bookmarkEnd w:id="128"/>
    </w:p>
    <w:p>
      <w:pPr>
        <w:pStyle w:val="3"/>
        <w:ind w:firstLine="420"/>
      </w:pPr>
      <w:r>
        <w:rPr>
          <w:rFonts w:hint="eastAsia"/>
          <w:lang w:val="en-US"/>
        </w:rPr>
        <w:t>分析《绿色建筑评价标准》，</w:t>
      </w:r>
      <w:bookmarkStart w:id="129" w:name="季节9"/>
      <w:r>
        <w:rPr>
          <w:rFonts w:hint="eastAsia"/>
          <w:lang w:val="en-US"/>
        </w:rPr>
        <w:t>夏季</w:t>
      </w:r>
      <w:bookmarkEnd w:id="129"/>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jc w:val="center"/>
      </w:pPr>
      <w:bookmarkStart w:id="130" w:name="迎风面风压云图"/>
      <w:bookmarkEnd w:id="130"/>
      <w:r>
        <w:drawing>
          <wp:inline distT="0" distB="0" distL="0" distR="0">
            <wp:extent cx="5667375" cy="3619500"/>
            <wp:effectExtent l="0" t="0" r="0" b="0"/>
            <wp:docPr id="6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2"/>
                    <pic:cNvPicPr>
                      <a:picLocks noChangeAspect="1"/>
                    </pic:cNvPicPr>
                  </pic:nvPicPr>
                  <pic:blipFill>
                    <a:blip r:embed="rId77"/>
                    <a:stretch>
                      <a:fillRect/>
                    </a:stretch>
                  </pic:blipFill>
                  <pic:spPr>
                    <a:xfrm>
                      <a:off x="0" y="0"/>
                      <a:ext cx="5667375" cy="3619500"/>
                    </a:xfrm>
                    <a:prstGeom prst="rect">
                      <a:avLst/>
                    </a:prstGeom>
                  </pic:spPr>
                </pic:pic>
              </a:graphicData>
            </a:graphic>
          </wp:inline>
        </w:drawing>
      </w:r>
    </w:p>
    <w:p>
      <w:pPr>
        <w:pStyle w:val="3"/>
        <w:ind w:firstLine="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1" w:name="季节10"/>
      <w:r>
        <w:rPr>
          <w:rFonts w:hint="eastAsia" w:ascii="黑体" w:hAnsi="黑体" w:eastAsia="黑体"/>
          <w:sz w:val="20"/>
          <w:szCs w:val="20"/>
        </w:rPr>
        <w:t>夏季</w:t>
      </w:r>
      <w:bookmarkEnd w:id="131"/>
    </w:p>
    <w:p>
      <w:pPr>
        <w:pStyle w:val="14"/>
        <w:jc w:val="center"/>
      </w:pPr>
      <w:bookmarkStart w:id="132" w:name="背风面风压云图"/>
      <w:bookmarkEnd w:id="132"/>
      <w:r>
        <w:drawing>
          <wp:inline distT="0" distB="0" distL="0" distR="0">
            <wp:extent cx="5667375" cy="3638550"/>
            <wp:effectExtent l="0" t="0" r="0" b="0"/>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78"/>
                    <a:stretch>
                      <a:fillRect/>
                    </a:stretch>
                  </pic:blipFill>
                  <pic:spPr>
                    <a:xfrm>
                      <a:off x="0" y="0"/>
                      <a:ext cx="5667375" cy="3638550"/>
                    </a:xfrm>
                    <a:prstGeom prst="rect">
                      <a:avLst/>
                    </a:prstGeom>
                  </pic:spPr>
                </pic:pic>
              </a:graphicData>
            </a:graphic>
          </wp:inline>
        </w:drawing>
      </w:r>
    </w:p>
    <w:p>
      <w:pPr>
        <w:pStyle w:val="3"/>
        <w:ind w:firstLine="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33" w:name="季节11"/>
      <w:r>
        <w:rPr>
          <w:rFonts w:hint="eastAsia" w:ascii="黑体" w:hAnsi="黑体" w:eastAsia="黑体"/>
          <w:sz w:val="20"/>
          <w:szCs w:val="20"/>
        </w:rPr>
        <w:t>夏季</w:t>
      </w:r>
      <w:bookmarkEnd w:id="133"/>
      <w:r>
        <w:rPr>
          <w:rFonts w:hint="eastAsia"/>
        </w:rPr>
        <w:t xml:space="preserve"> </w:t>
      </w:r>
    </w:p>
    <w:p>
      <w:r>
        <w:rPr>
          <w:rFonts w:hint="eastAsia"/>
        </w:rPr>
        <w:t>下表为依据上图提取的外窗外表面平均风压数据，相当于外窗室内外表面风压差数据，并依据标准做出达标判断：</w:t>
      </w:r>
    </w:p>
    <w:p>
      <w:pPr>
        <w:pStyle w:val="14"/>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3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E6E6E6" w:fill="E6E6E6"/>
            <w:noWrap w:val="0"/>
            <w:vAlign w:val="center"/>
          </w:tcPr>
          <w:p>
            <w:pPr>
              <w:jc w:val="center"/>
              <w:rPr>
                <w:lang w:val="en-US"/>
              </w:rPr>
            </w:pPr>
            <w:r>
              <w:rPr>
                <w:rFonts w:hint="eastAsia"/>
                <w:lang w:val="en-US"/>
              </w:rPr>
              <w:t>建筑编号</w:t>
            </w:r>
          </w:p>
        </w:tc>
        <w:tc>
          <w:tcPr>
            <w:tcW w:w="1134" w:type="dxa"/>
            <w:shd w:val="clear" w:color="E6E6E6" w:fill="E6E6E6"/>
            <w:noWrap w:val="0"/>
            <w:vAlign w:val="center"/>
          </w:tcPr>
          <w:p>
            <w:pPr>
              <w:jc w:val="center"/>
              <w:rPr>
                <w:lang w:val="en-US"/>
              </w:rPr>
            </w:pPr>
            <w:r>
              <w:rPr>
                <w:rFonts w:hint="eastAsia"/>
                <w:lang w:val="en-US"/>
              </w:rPr>
              <w:t>可开启外窗总数</w:t>
            </w:r>
          </w:p>
        </w:tc>
        <w:tc>
          <w:tcPr>
            <w:tcW w:w="1984" w:type="dxa"/>
            <w:shd w:val="clear" w:color="E6E6E6" w:fill="E6E6E6"/>
            <w:noWrap w:val="0"/>
            <w:vAlign w:val="center"/>
          </w:tcPr>
          <w:p>
            <w:pPr>
              <w:jc w:val="center"/>
              <w:rPr>
                <w:lang w:val="en-US"/>
              </w:rPr>
            </w:pPr>
            <w:r>
              <w:rPr>
                <w:rFonts w:hint="eastAsia"/>
                <w:lang w:val="en-US"/>
              </w:rPr>
              <w:t>室内外风压差大于0.5Pa的外窗总数</w:t>
            </w:r>
          </w:p>
        </w:tc>
        <w:tc>
          <w:tcPr>
            <w:tcW w:w="1116" w:type="dxa"/>
            <w:shd w:val="clear" w:color="E6E6E6" w:fill="E6E6E6"/>
            <w:noWrap w:val="0"/>
            <w:vAlign w:val="center"/>
          </w:tcPr>
          <w:p>
            <w:pPr>
              <w:jc w:val="center"/>
              <w:rPr>
                <w:lang w:val="en-US"/>
              </w:rPr>
            </w:pPr>
            <w:r>
              <w:rPr>
                <w:rFonts w:hint="eastAsia"/>
                <w:lang w:val="en-US"/>
              </w:rPr>
              <w:t>达标比例（%）</w:t>
            </w:r>
          </w:p>
        </w:tc>
        <w:tc>
          <w:tcPr>
            <w:tcW w:w="708" w:type="dxa"/>
            <w:shd w:val="clear" w:color="E6E6E6" w:fill="E6E6E6"/>
            <w:noWrap w:val="0"/>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noWrap w:val="0"/>
            <w:vAlign w:val="center"/>
          </w:tcPr>
          <w:p>
            <w:pPr>
              <w:jc w:val="center"/>
              <w:rPr>
                <w:lang w:val="en-US"/>
              </w:rPr>
            </w:pPr>
            <w:r>
              <w:rPr>
                <w:lang w:val="en-US"/>
              </w:rPr>
              <w:t>DT单体(组01)</w:t>
            </w:r>
          </w:p>
        </w:tc>
        <w:tc>
          <w:tcPr>
            <w:tcW w:w="1134" w:type="dxa"/>
            <w:shd w:val="clear" w:color="auto" w:fill="auto"/>
            <w:noWrap w:val="0"/>
            <w:vAlign w:val="center"/>
          </w:tcPr>
          <w:p>
            <w:pPr>
              <w:jc w:val="center"/>
              <w:rPr>
                <w:lang w:val="en-US"/>
              </w:rPr>
            </w:pPr>
            <w:r>
              <w:rPr>
                <w:lang w:val="en-US"/>
              </w:rPr>
              <w:t>236</w:t>
            </w:r>
          </w:p>
        </w:tc>
        <w:tc>
          <w:tcPr>
            <w:tcW w:w="1984" w:type="dxa"/>
            <w:shd w:val="clear" w:color="auto" w:fill="auto"/>
            <w:noWrap w:val="0"/>
            <w:vAlign w:val="center"/>
          </w:tcPr>
          <w:p>
            <w:pPr>
              <w:jc w:val="center"/>
              <w:rPr>
                <w:lang w:val="en-US"/>
              </w:rPr>
            </w:pPr>
            <w:r>
              <w:rPr>
                <w:lang w:val="en-US"/>
              </w:rPr>
              <w:t>230</w:t>
            </w:r>
          </w:p>
        </w:tc>
        <w:tc>
          <w:tcPr>
            <w:tcW w:w="1116" w:type="dxa"/>
            <w:shd w:val="clear" w:color="auto" w:fill="auto"/>
            <w:noWrap w:val="0"/>
            <w:vAlign w:val="center"/>
          </w:tcPr>
          <w:p>
            <w:pPr>
              <w:jc w:val="center"/>
              <w:rPr>
                <w:lang w:val="en-US"/>
              </w:rPr>
            </w:pPr>
            <w:r>
              <w:rPr>
                <w:lang w:val="en-US"/>
              </w:rPr>
              <w:t>97.46</w:t>
            </w:r>
          </w:p>
        </w:tc>
        <w:tc>
          <w:tcPr>
            <w:tcW w:w="708" w:type="dxa"/>
            <w:shd w:val="clear" w:color="auto" w:fill="auto"/>
            <w:noWrap w:val="0"/>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34" w:name="建筑外窗室内外风压差达标判定"/>
      <w:bookmarkEnd w:id="134"/>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4"/>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3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E6E6E6" w:fill="E6E6E6"/>
            <w:noWrap w:val="0"/>
            <w:vAlign w:val="center"/>
          </w:tcPr>
          <w:p>
            <w:pPr>
              <w:spacing w:line="360" w:lineRule="exact"/>
              <w:jc w:val="center"/>
              <w:rPr>
                <w:lang w:val="en-US"/>
              </w:rPr>
            </w:pPr>
            <w:r>
              <w:rPr>
                <w:rFonts w:hint="eastAsia"/>
                <w:lang w:val="en-US"/>
              </w:rPr>
              <w:t>建筑编号</w:t>
            </w:r>
          </w:p>
        </w:tc>
        <w:tc>
          <w:tcPr>
            <w:tcW w:w="1417" w:type="dxa"/>
            <w:shd w:val="clear" w:color="E6E6E6" w:fill="E6E6E6"/>
            <w:noWrap w:val="0"/>
            <w:vAlign w:val="center"/>
          </w:tcPr>
          <w:p>
            <w:pPr>
              <w:spacing w:line="360" w:lineRule="exact"/>
              <w:jc w:val="center"/>
              <w:rPr>
                <w:lang w:val="en-US"/>
              </w:rPr>
            </w:pPr>
            <w:r>
              <w:rPr>
                <w:rFonts w:hint="eastAsia"/>
                <w:lang w:val="en-US"/>
              </w:rPr>
              <w:t>建筑表面积（㎡）</w:t>
            </w:r>
          </w:p>
        </w:tc>
        <w:tc>
          <w:tcPr>
            <w:tcW w:w="2552" w:type="dxa"/>
            <w:shd w:val="clear" w:color="E6E6E6" w:fill="E6E6E6"/>
            <w:noWrap w:val="0"/>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E6E6E6" w:fill="E6E6E6"/>
            <w:noWrap w:val="0"/>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E6E6E6" w:fill="E6E6E6"/>
            <w:noWrap w:val="0"/>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未命名(8439)</w:t>
            </w:r>
          </w:p>
        </w:tc>
        <w:tc>
          <w:tcPr>
            <w:tcW w:w="1417" w:type="dxa"/>
            <w:noWrap w:val="0"/>
            <w:vAlign w:val="center"/>
          </w:tcPr>
          <w:p>
            <w:pPr>
              <w:spacing w:line="360" w:lineRule="exact"/>
              <w:jc w:val="center"/>
              <w:rPr>
                <w:lang w:val="en-US"/>
              </w:rPr>
            </w:pPr>
            <w:r>
              <w:rPr>
                <w:lang w:val="en-US"/>
              </w:rPr>
              <w:t>7804.99</w:t>
            </w:r>
          </w:p>
        </w:tc>
        <w:tc>
          <w:tcPr>
            <w:tcW w:w="2552" w:type="dxa"/>
            <w:noWrap w:val="0"/>
            <w:vAlign w:val="center"/>
          </w:tcPr>
          <w:p>
            <w:pPr>
              <w:spacing w:line="360" w:lineRule="exact"/>
              <w:jc w:val="center"/>
              <w:rPr>
                <w:lang w:val="en-US"/>
              </w:rPr>
            </w:pPr>
            <w:r>
              <w:rPr>
                <w:lang w:val="en-US"/>
              </w:rPr>
              <w:t>7740.92</w:t>
            </w:r>
          </w:p>
        </w:tc>
        <w:tc>
          <w:tcPr>
            <w:tcW w:w="1134" w:type="dxa"/>
            <w:noWrap w:val="0"/>
            <w:vAlign w:val="center"/>
          </w:tcPr>
          <w:p>
            <w:pPr>
              <w:spacing w:line="360" w:lineRule="exact"/>
              <w:jc w:val="center"/>
              <w:rPr>
                <w:lang w:val="en-US"/>
              </w:rPr>
            </w:pPr>
            <w:r>
              <w:rPr>
                <w:lang w:val="en-US"/>
              </w:rPr>
              <w:t>99.18</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未命名(8458)</w:t>
            </w:r>
          </w:p>
        </w:tc>
        <w:tc>
          <w:tcPr>
            <w:tcW w:w="1417" w:type="dxa"/>
            <w:noWrap w:val="0"/>
            <w:vAlign w:val="center"/>
          </w:tcPr>
          <w:p>
            <w:pPr>
              <w:spacing w:line="360" w:lineRule="exact"/>
              <w:jc w:val="center"/>
              <w:rPr>
                <w:lang w:val="en-US"/>
              </w:rPr>
            </w:pPr>
            <w:r>
              <w:rPr>
                <w:lang w:val="en-US"/>
              </w:rPr>
              <w:t>3331.83</w:t>
            </w:r>
          </w:p>
        </w:tc>
        <w:tc>
          <w:tcPr>
            <w:tcW w:w="2552" w:type="dxa"/>
            <w:noWrap w:val="0"/>
            <w:vAlign w:val="center"/>
          </w:tcPr>
          <w:p>
            <w:pPr>
              <w:spacing w:line="360" w:lineRule="exact"/>
              <w:jc w:val="center"/>
              <w:rPr>
                <w:lang w:val="en-US"/>
              </w:rPr>
            </w:pPr>
            <w:r>
              <w:rPr>
                <w:lang w:val="en-US"/>
              </w:rPr>
              <w:t>3287.17</w:t>
            </w:r>
          </w:p>
        </w:tc>
        <w:tc>
          <w:tcPr>
            <w:tcW w:w="1134" w:type="dxa"/>
            <w:noWrap w:val="0"/>
            <w:vAlign w:val="center"/>
          </w:tcPr>
          <w:p>
            <w:pPr>
              <w:spacing w:line="360" w:lineRule="exact"/>
              <w:jc w:val="center"/>
              <w:rPr>
                <w:lang w:val="en-US"/>
              </w:rPr>
            </w:pPr>
            <w:r>
              <w:rPr>
                <w:lang w:val="en-US"/>
              </w:rPr>
              <w:t>98.66</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未命名(845C)</w:t>
            </w:r>
          </w:p>
        </w:tc>
        <w:tc>
          <w:tcPr>
            <w:tcW w:w="1417" w:type="dxa"/>
            <w:noWrap w:val="0"/>
            <w:vAlign w:val="center"/>
          </w:tcPr>
          <w:p>
            <w:pPr>
              <w:spacing w:line="360" w:lineRule="exact"/>
              <w:jc w:val="center"/>
              <w:rPr>
                <w:lang w:val="en-US"/>
              </w:rPr>
            </w:pPr>
            <w:r>
              <w:rPr>
                <w:lang w:val="en-US"/>
              </w:rPr>
              <w:t>2852.04</w:t>
            </w:r>
          </w:p>
        </w:tc>
        <w:tc>
          <w:tcPr>
            <w:tcW w:w="2552" w:type="dxa"/>
            <w:noWrap w:val="0"/>
            <w:vAlign w:val="center"/>
          </w:tcPr>
          <w:p>
            <w:pPr>
              <w:spacing w:line="360" w:lineRule="exact"/>
              <w:jc w:val="center"/>
              <w:rPr>
                <w:lang w:val="en-US"/>
              </w:rPr>
            </w:pPr>
            <w:r>
              <w:rPr>
                <w:lang w:val="en-US"/>
              </w:rPr>
              <w:t>2798.60</w:t>
            </w:r>
          </w:p>
        </w:tc>
        <w:tc>
          <w:tcPr>
            <w:tcW w:w="1134" w:type="dxa"/>
            <w:noWrap w:val="0"/>
            <w:vAlign w:val="center"/>
          </w:tcPr>
          <w:p>
            <w:pPr>
              <w:spacing w:line="360" w:lineRule="exact"/>
              <w:jc w:val="center"/>
              <w:rPr>
                <w:lang w:val="en-US"/>
              </w:rPr>
            </w:pPr>
            <w:r>
              <w:rPr>
                <w:lang w:val="en-US"/>
              </w:rPr>
              <w:t>98.13</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未命名(8467)</w:t>
            </w:r>
          </w:p>
        </w:tc>
        <w:tc>
          <w:tcPr>
            <w:tcW w:w="1417" w:type="dxa"/>
            <w:noWrap w:val="0"/>
            <w:vAlign w:val="center"/>
          </w:tcPr>
          <w:p>
            <w:pPr>
              <w:spacing w:line="360" w:lineRule="exact"/>
              <w:jc w:val="center"/>
              <w:rPr>
                <w:lang w:val="en-US"/>
              </w:rPr>
            </w:pPr>
            <w:r>
              <w:rPr>
                <w:lang w:val="en-US"/>
              </w:rPr>
              <w:t>1788.53</w:t>
            </w:r>
          </w:p>
        </w:tc>
        <w:tc>
          <w:tcPr>
            <w:tcW w:w="2552" w:type="dxa"/>
            <w:noWrap w:val="0"/>
            <w:vAlign w:val="center"/>
          </w:tcPr>
          <w:p>
            <w:pPr>
              <w:spacing w:line="360" w:lineRule="exact"/>
              <w:jc w:val="center"/>
              <w:rPr>
                <w:lang w:val="en-US"/>
              </w:rPr>
            </w:pPr>
            <w:r>
              <w:rPr>
                <w:lang w:val="en-US"/>
              </w:rPr>
              <w:t>1777.84</w:t>
            </w:r>
          </w:p>
        </w:tc>
        <w:tc>
          <w:tcPr>
            <w:tcW w:w="1134" w:type="dxa"/>
            <w:noWrap w:val="0"/>
            <w:vAlign w:val="center"/>
          </w:tcPr>
          <w:p>
            <w:pPr>
              <w:spacing w:line="360" w:lineRule="exact"/>
              <w:jc w:val="center"/>
              <w:rPr>
                <w:lang w:val="en-US"/>
              </w:rPr>
            </w:pPr>
            <w:r>
              <w:rPr>
                <w:lang w:val="en-US"/>
              </w:rPr>
              <w:t>99.40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未命名(846A)</w:t>
            </w:r>
          </w:p>
        </w:tc>
        <w:tc>
          <w:tcPr>
            <w:tcW w:w="1417" w:type="dxa"/>
            <w:noWrap w:val="0"/>
            <w:vAlign w:val="center"/>
          </w:tcPr>
          <w:p>
            <w:pPr>
              <w:spacing w:line="360" w:lineRule="exact"/>
              <w:jc w:val="center"/>
              <w:rPr>
                <w:lang w:val="en-US"/>
              </w:rPr>
            </w:pPr>
            <w:r>
              <w:rPr>
                <w:lang w:val="en-US"/>
              </w:rPr>
              <w:t>2276.03</w:t>
            </w:r>
          </w:p>
        </w:tc>
        <w:tc>
          <w:tcPr>
            <w:tcW w:w="2552" w:type="dxa"/>
            <w:noWrap w:val="0"/>
            <w:vAlign w:val="center"/>
          </w:tcPr>
          <w:p>
            <w:pPr>
              <w:spacing w:line="360" w:lineRule="exact"/>
              <w:jc w:val="center"/>
              <w:rPr>
                <w:lang w:val="en-US"/>
              </w:rPr>
            </w:pPr>
            <w:r>
              <w:rPr>
                <w:lang w:val="en-US"/>
              </w:rPr>
              <w:t>2276.03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未命名(846D)</w:t>
            </w:r>
          </w:p>
        </w:tc>
        <w:tc>
          <w:tcPr>
            <w:tcW w:w="1417" w:type="dxa"/>
            <w:noWrap w:val="0"/>
            <w:vAlign w:val="center"/>
          </w:tcPr>
          <w:p>
            <w:pPr>
              <w:spacing w:line="360" w:lineRule="exact"/>
              <w:jc w:val="center"/>
              <w:rPr>
                <w:lang w:val="en-US"/>
              </w:rPr>
            </w:pPr>
            <w:r>
              <w:rPr>
                <w:lang w:val="en-US"/>
              </w:rPr>
              <w:t>443.76</w:t>
            </w:r>
          </w:p>
        </w:tc>
        <w:tc>
          <w:tcPr>
            <w:tcW w:w="2552" w:type="dxa"/>
            <w:noWrap w:val="0"/>
            <w:vAlign w:val="center"/>
          </w:tcPr>
          <w:p>
            <w:pPr>
              <w:spacing w:line="360" w:lineRule="exact"/>
              <w:jc w:val="center"/>
              <w:rPr>
                <w:lang w:val="en-US"/>
              </w:rPr>
            </w:pPr>
            <w:r>
              <w:rPr>
                <w:lang w:val="en-US"/>
              </w:rPr>
              <w:t>443.76</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未命名(8470)</w:t>
            </w:r>
          </w:p>
        </w:tc>
        <w:tc>
          <w:tcPr>
            <w:tcW w:w="1417" w:type="dxa"/>
            <w:noWrap w:val="0"/>
            <w:vAlign w:val="center"/>
          </w:tcPr>
          <w:p>
            <w:pPr>
              <w:spacing w:line="360" w:lineRule="exact"/>
              <w:jc w:val="center"/>
              <w:rPr>
                <w:lang w:val="en-US"/>
              </w:rPr>
            </w:pPr>
            <w:r>
              <w:rPr>
                <w:lang w:val="en-US"/>
              </w:rPr>
              <w:t>304.41</w:t>
            </w:r>
          </w:p>
        </w:tc>
        <w:tc>
          <w:tcPr>
            <w:tcW w:w="2552" w:type="dxa"/>
            <w:noWrap w:val="0"/>
            <w:vAlign w:val="center"/>
          </w:tcPr>
          <w:p>
            <w:pPr>
              <w:spacing w:line="360" w:lineRule="exact"/>
              <w:jc w:val="center"/>
              <w:rPr>
                <w:lang w:val="en-US"/>
              </w:rPr>
            </w:pPr>
            <w:r>
              <w:rPr>
                <w:lang w:val="en-US"/>
              </w:rPr>
              <w:t>304.41</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未命名(8473)</w:t>
            </w:r>
          </w:p>
        </w:tc>
        <w:tc>
          <w:tcPr>
            <w:tcW w:w="1417" w:type="dxa"/>
            <w:noWrap w:val="0"/>
            <w:vAlign w:val="center"/>
          </w:tcPr>
          <w:p>
            <w:pPr>
              <w:spacing w:line="360" w:lineRule="exact"/>
              <w:jc w:val="center"/>
              <w:rPr>
                <w:lang w:val="en-US"/>
              </w:rPr>
            </w:pPr>
            <w:r>
              <w:rPr>
                <w:lang w:val="en-US"/>
              </w:rPr>
              <w:t>535.60</w:t>
            </w:r>
          </w:p>
        </w:tc>
        <w:tc>
          <w:tcPr>
            <w:tcW w:w="2552" w:type="dxa"/>
            <w:noWrap w:val="0"/>
            <w:vAlign w:val="center"/>
          </w:tcPr>
          <w:p>
            <w:pPr>
              <w:spacing w:line="360" w:lineRule="exact"/>
              <w:jc w:val="center"/>
              <w:rPr>
                <w:lang w:val="en-US"/>
              </w:rPr>
            </w:pPr>
            <w:r>
              <w:rPr>
                <w:lang w:val="en-US"/>
              </w:rPr>
              <w:t>535.60</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未命名(8476)</w:t>
            </w:r>
          </w:p>
        </w:tc>
        <w:tc>
          <w:tcPr>
            <w:tcW w:w="1417" w:type="dxa"/>
            <w:noWrap w:val="0"/>
            <w:vAlign w:val="center"/>
          </w:tcPr>
          <w:p>
            <w:pPr>
              <w:spacing w:line="360" w:lineRule="exact"/>
              <w:jc w:val="center"/>
              <w:rPr>
                <w:lang w:val="en-US"/>
              </w:rPr>
            </w:pPr>
            <w:r>
              <w:rPr>
                <w:lang w:val="en-US"/>
              </w:rPr>
              <w:t>187.99</w:t>
            </w:r>
          </w:p>
        </w:tc>
        <w:tc>
          <w:tcPr>
            <w:tcW w:w="2552" w:type="dxa"/>
            <w:noWrap w:val="0"/>
            <w:vAlign w:val="center"/>
          </w:tcPr>
          <w:p>
            <w:pPr>
              <w:spacing w:line="360" w:lineRule="exact"/>
              <w:jc w:val="center"/>
              <w:rPr>
                <w:lang w:val="en-US"/>
              </w:rPr>
            </w:pPr>
            <w:r>
              <w:rPr>
                <w:lang w:val="en-US"/>
              </w:rPr>
              <w:t>187.99</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未命名(8479)</w:t>
            </w:r>
          </w:p>
        </w:tc>
        <w:tc>
          <w:tcPr>
            <w:tcW w:w="1417" w:type="dxa"/>
            <w:noWrap w:val="0"/>
            <w:vAlign w:val="center"/>
          </w:tcPr>
          <w:p>
            <w:pPr>
              <w:spacing w:line="360" w:lineRule="exact"/>
              <w:jc w:val="center"/>
              <w:rPr>
                <w:lang w:val="en-US"/>
              </w:rPr>
            </w:pPr>
            <w:r>
              <w:rPr>
                <w:lang w:val="en-US"/>
              </w:rPr>
              <w:t>190.28</w:t>
            </w:r>
          </w:p>
        </w:tc>
        <w:tc>
          <w:tcPr>
            <w:tcW w:w="2552" w:type="dxa"/>
            <w:noWrap w:val="0"/>
            <w:vAlign w:val="center"/>
          </w:tcPr>
          <w:p>
            <w:pPr>
              <w:spacing w:line="360" w:lineRule="exact"/>
              <w:jc w:val="center"/>
              <w:rPr>
                <w:lang w:val="en-US"/>
              </w:rPr>
            </w:pPr>
            <w:r>
              <w:rPr>
                <w:lang w:val="en-US"/>
              </w:rPr>
              <w:t>190.28</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未命名(847C)</w:t>
            </w:r>
          </w:p>
        </w:tc>
        <w:tc>
          <w:tcPr>
            <w:tcW w:w="1417" w:type="dxa"/>
            <w:noWrap w:val="0"/>
            <w:vAlign w:val="center"/>
          </w:tcPr>
          <w:p>
            <w:pPr>
              <w:spacing w:line="360" w:lineRule="exact"/>
              <w:jc w:val="center"/>
              <w:rPr>
                <w:lang w:val="en-US"/>
              </w:rPr>
            </w:pPr>
            <w:r>
              <w:rPr>
                <w:lang w:val="en-US"/>
              </w:rPr>
              <w:t>199.05</w:t>
            </w:r>
          </w:p>
        </w:tc>
        <w:tc>
          <w:tcPr>
            <w:tcW w:w="2552" w:type="dxa"/>
            <w:noWrap w:val="0"/>
            <w:vAlign w:val="center"/>
          </w:tcPr>
          <w:p>
            <w:pPr>
              <w:spacing w:line="360" w:lineRule="exact"/>
              <w:jc w:val="center"/>
              <w:rPr>
                <w:lang w:val="en-US"/>
              </w:rPr>
            </w:pPr>
            <w:r>
              <w:rPr>
                <w:lang w:val="en-US"/>
              </w:rPr>
              <w:t>199.05</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未命名(847F)</w:t>
            </w:r>
          </w:p>
        </w:tc>
        <w:tc>
          <w:tcPr>
            <w:tcW w:w="1417" w:type="dxa"/>
            <w:noWrap w:val="0"/>
            <w:vAlign w:val="center"/>
          </w:tcPr>
          <w:p>
            <w:pPr>
              <w:spacing w:line="360" w:lineRule="exact"/>
              <w:jc w:val="center"/>
              <w:rPr>
                <w:lang w:val="en-US"/>
              </w:rPr>
            </w:pPr>
            <w:r>
              <w:rPr>
                <w:lang w:val="en-US"/>
              </w:rPr>
              <w:t>247.09</w:t>
            </w:r>
          </w:p>
        </w:tc>
        <w:tc>
          <w:tcPr>
            <w:tcW w:w="2552" w:type="dxa"/>
            <w:noWrap w:val="0"/>
            <w:vAlign w:val="center"/>
          </w:tcPr>
          <w:p>
            <w:pPr>
              <w:spacing w:line="360" w:lineRule="exact"/>
              <w:jc w:val="center"/>
              <w:rPr>
                <w:lang w:val="en-US"/>
              </w:rPr>
            </w:pPr>
            <w:r>
              <w:rPr>
                <w:lang w:val="en-US"/>
              </w:rPr>
              <w:t>247.09</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未命名(8482)</w:t>
            </w:r>
          </w:p>
        </w:tc>
        <w:tc>
          <w:tcPr>
            <w:tcW w:w="1417" w:type="dxa"/>
            <w:noWrap w:val="0"/>
            <w:vAlign w:val="center"/>
          </w:tcPr>
          <w:p>
            <w:pPr>
              <w:spacing w:line="360" w:lineRule="exact"/>
              <w:jc w:val="center"/>
              <w:rPr>
                <w:lang w:val="en-US"/>
              </w:rPr>
            </w:pPr>
            <w:r>
              <w:rPr>
                <w:lang w:val="en-US"/>
              </w:rPr>
              <w:t>152.41</w:t>
            </w:r>
          </w:p>
        </w:tc>
        <w:tc>
          <w:tcPr>
            <w:tcW w:w="2552" w:type="dxa"/>
            <w:noWrap w:val="0"/>
            <w:vAlign w:val="center"/>
          </w:tcPr>
          <w:p>
            <w:pPr>
              <w:spacing w:line="360" w:lineRule="exact"/>
              <w:jc w:val="center"/>
              <w:rPr>
                <w:lang w:val="en-US"/>
              </w:rPr>
            </w:pPr>
            <w:r>
              <w:rPr>
                <w:lang w:val="en-US"/>
              </w:rPr>
              <w:t>152.41</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未命名(8485)</w:t>
            </w:r>
          </w:p>
        </w:tc>
        <w:tc>
          <w:tcPr>
            <w:tcW w:w="1417" w:type="dxa"/>
            <w:noWrap w:val="0"/>
            <w:vAlign w:val="center"/>
          </w:tcPr>
          <w:p>
            <w:pPr>
              <w:spacing w:line="360" w:lineRule="exact"/>
              <w:jc w:val="center"/>
              <w:rPr>
                <w:lang w:val="en-US"/>
              </w:rPr>
            </w:pPr>
            <w:r>
              <w:rPr>
                <w:lang w:val="en-US"/>
              </w:rPr>
              <w:t>154.46</w:t>
            </w:r>
          </w:p>
        </w:tc>
        <w:tc>
          <w:tcPr>
            <w:tcW w:w="2552" w:type="dxa"/>
            <w:noWrap w:val="0"/>
            <w:vAlign w:val="center"/>
          </w:tcPr>
          <w:p>
            <w:pPr>
              <w:spacing w:line="360" w:lineRule="exact"/>
              <w:jc w:val="center"/>
              <w:rPr>
                <w:lang w:val="en-US"/>
              </w:rPr>
            </w:pPr>
            <w:r>
              <w:rPr>
                <w:lang w:val="en-US"/>
              </w:rPr>
              <w:t>154.46</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未命名(8488)</w:t>
            </w:r>
          </w:p>
        </w:tc>
        <w:tc>
          <w:tcPr>
            <w:tcW w:w="1417" w:type="dxa"/>
            <w:noWrap w:val="0"/>
            <w:vAlign w:val="center"/>
          </w:tcPr>
          <w:p>
            <w:pPr>
              <w:spacing w:line="360" w:lineRule="exact"/>
              <w:jc w:val="center"/>
              <w:rPr>
                <w:lang w:val="en-US"/>
              </w:rPr>
            </w:pPr>
            <w:r>
              <w:rPr>
                <w:lang w:val="en-US"/>
              </w:rPr>
              <w:t>124.17</w:t>
            </w:r>
          </w:p>
        </w:tc>
        <w:tc>
          <w:tcPr>
            <w:tcW w:w="2552" w:type="dxa"/>
            <w:noWrap w:val="0"/>
            <w:vAlign w:val="center"/>
          </w:tcPr>
          <w:p>
            <w:pPr>
              <w:spacing w:line="360" w:lineRule="exact"/>
              <w:jc w:val="center"/>
              <w:rPr>
                <w:lang w:val="en-US"/>
              </w:rPr>
            </w:pPr>
            <w:r>
              <w:rPr>
                <w:lang w:val="en-US"/>
              </w:rPr>
              <w:t>124.17</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未命名(848B)</w:t>
            </w:r>
          </w:p>
        </w:tc>
        <w:tc>
          <w:tcPr>
            <w:tcW w:w="1417" w:type="dxa"/>
            <w:noWrap w:val="0"/>
            <w:vAlign w:val="center"/>
          </w:tcPr>
          <w:p>
            <w:pPr>
              <w:spacing w:line="360" w:lineRule="exact"/>
              <w:jc w:val="center"/>
              <w:rPr>
                <w:lang w:val="en-US"/>
              </w:rPr>
            </w:pPr>
            <w:r>
              <w:rPr>
                <w:lang w:val="en-US"/>
              </w:rPr>
              <w:t>196.69</w:t>
            </w:r>
          </w:p>
        </w:tc>
        <w:tc>
          <w:tcPr>
            <w:tcW w:w="2552" w:type="dxa"/>
            <w:noWrap w:val="0"/>
            <w:vAlign w:val="center"/>
          </w:tcPr>
          <w:p>
            <w:pPr>
              <w:spacing w:line="360" w:lineRule="exact"/>
              <w:jc w:val="center"/>
              <w:rPr>
                <w:lang w:val="en-US"/>
              </w:rPr>
            </w:pPr>
            <w:r>
              <w:rPr>
                <w:lang w:val="en-US"/>
              </w:rPr>
              <w:t>196.69</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未命名(848E)</w:t>
            </w:r>
          </w:p>
        </w:tc>
        <w:tc>
          <w:tcPr>
            <w:tcW w:w="1417" w:type="dxa"/>
            <w:noWrap w:val="0"/>
            <w:vAlign w:val="center"/>
          </w:tcPr>
          <w:p>
            <w:pPr>
              <w:spacing w:line="360" w:lineRule="exact"/>
              <w:jc w:val="center"/>
              <w:rPr>
                <w:lang w:val="en-US"/>
              </w:rPr>
            </w:pPr>
            <w:r>
              <w:rPr>
                <w:lang w:val="en-US"/>
              </w:rPr>
              <w:t>280.63</w:t>
            </w:r>
          </w:p>
        </w:tc>
        <w:tc>
          <w:tcPr>
            <w:tcW w:w="2552" w:type="dxa"/>
            <w:noWrap w:val="0"/>
            <w:vAlign w:val="center"/>
          </w:tcPr>
          <w:p>
            <w:pPr>
              <w:spacing w:line="360" w:lineRule="exact"/>
              <w:jc w:val="center"/>
              <w:rPr>
                <w:lang w:val="en-US"/>
              </w:rPr>
            </w:pPr>
            <w:r>
              <w:rPr>
                <w:lang w:val="en-US"/>
              </w:rPr>
              <w:t>280.63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未命名(8491)</w:t>
            </w:r>
          </w:p>
        </w:tc>
        <w:tc>
          <w:tcPr>
            <w:tcW w:w="1417" w:type="dxa"/>
            <w:noWrap w:val="0"/>
            <w:vAlign w:val="center"/>
          </w:tcPr>
          <w:p>
            <w:pPr>
              <w:spacing w:line="360" w:lineRule="exact"/>
              <w:jc w:val="center"/>
              <w:rPr>
                <w:lang w:val="en-US"/>
              </w:rPr>
            </w:pPr>
            <w:r>
              <w:rPr>
                <w:lang w:val="en-US"/>
              </w:rPr>
              <w:t>370.18</w:t>
            </w:r>
          </w:p>
        </w:tc>
        <w:tc>
          <w:tcPr>
            <w:tcW w:w="2552" w:type="dxa"/>
            <w:noWrap w:val="0"/>
            <w:vAlign w:val="center"/>
          </w:tcPr>
          <w:p>
            <w:pPr>
              <w:spacing w:line="360" w:lineRule="exact"/>
              <w:jc w:val="center"/>
              <w:rPr>
                <w:lang w:val="en-US"/>
              </w:rPr>
            </w:pPr>
            <w:r>
              <w:rPr>
                <w:lang w:val="en-US"/>
              </w:rPr>
              <w:t>370.18</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未命名(8494)</w:t>
            </w:r>
          </w:p>
        </w:tc>
        <w:tc>
          <w:tcPr>
            <w:tcW w:w="1417" w:type="dxa"/>
            <w:noWrap w:val="0"/>
            <w:vAlign w:val="center"/>
          </w:tcPr>
          <w:p>
            <w:pPr>
              <w:spacing w:line="360" w:lineRule="exact"/>
              <w:jc w:val="center"/>
              <w:rPr>
                <w:lang w:val="en-US"/>
              </w:rPr>
            </w:pPr>
            <w:r>
              <w:rPr>
                <w:lang w:val="en-US"/>
              </w:rPr>
              <w:t>223.53</w:t>
            </w:r>
          </w:p>
        </w:tc>
        <w:tc>
          <w:tcPr>
            <w:tcW w:w="2552" w:type="dxa"/>
            <w:noWrap w:val="0"/>
            <w:vAlign w:val="center"/>
          </w:tcPr>
          <w:p>
            <w:pPr>
              <w:spacing w:line="360" w:lineRule="exact"/>
              <w:jc w:val="center"/>
              <w:rPr>
                <w:lang w:val="en-US"/>
              </w:rPr>
            </w:pPr>
            <w:r>
              <w:rPr>
                <w:lang w:val="en-US"/>
              </w:rPr>
              <w:t>223.53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未命名(8497)</w:t>
            </w:r>
          </w:p>
        </w:tc>
        <w:tc>
          <w:tcPr>
            <w:tcW w:w="1417" w:type="dxa"/>
            <w:noWrap w:val="0"/>
            <w:vAlign w:val="center"/>
          </w:tcPr>
          <w:p>
            <w:pPr>
              <w:spacing w:line="360" w:lineRule="exact"/>
              <w:jc w:val="center"/>
              <w:rPr>
                <w:lang w:val="en-US"/>
              </w:rPr>
            </w:pPr>
            <w:r>
              <w:rPr>
                <w:lang w:val="en-US"/>
              </w:rPr>
              <w:t>496.01</w:t>
            </w:r>
          </w:p>
        </w:tc>
        <w:tc>
          <w:tcPr>
            <w:tcW w:w="2552" w:type="dxa"/>
            <w:noWrap w:val="0"/>
            <w:vAlign w:val="center"/>
          </w:tcPr>
          <w:p>
            <w:pPr>
              <w:spacing w:line="360" w:lineRule="exact"/>
              <w:jc w:val="center"/>
              <w:rPr>
                <w:lang w:val="en-US"/>
              </w:rPr>
            </w:pPr>
            <w:r>
              <w:rPr>
                <w:lang w:val="en-US"/>
              </w:rPr>
              <w:t>496.01</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未命名(849A)</w:t>
            </w:r>
          </w:p>
        </w:tc>
        <w:tc>
          <w:tcPr>
            <w:tcW w:w="1417" w:type="dxa"/>
            <w:noWrap w:val="0"/>
            <w:vAlign w:val="center"/>
          </w:tcPr>
          <w:p>
            <w:pPr>
              <w:spacing w:line="360" w:lineRule="exact"/>
              <w:jc w:val="center"/>
              <w:rPr>
                <w:lang w:val="en-US"/>
              </w:rPr>
            </w:pPr>
            <w:r>
              <w:rPr>
                <w:lang w:val="en-US"/>
              </w:rPr>
              <w:t>637.43</w:t>
            </w:r>
          </w:p>
        </w:tc>
        <w:tc>
          <w:tcPr>
            <w:tcW w:w="2552" w:type="dxa"/>
            <w:noWrap w:val="0"/>
            <w:vAlign w:val="center"/>
          </w:tcPr>
          <w:p>
            <w:pPr>
              <w:spacing w:line="360" w:lineRule="exact"/>
              <w:jc w:val="center"/>
              <w:rPr>
                <w:lang w:val="en-US"/>
              </w:rPr>
            </w:pPr>
            <w:r>
              <w:rPr>
                <w:lang w:val="en-US"/>
              </w:rPr>
              <w:t>637.43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未命名(849D)</w:t>
            </w:r>
          </w:p>
        </w:tc>
        <w:tc>
          <w:tcPr>
            <w:tcW w:w="1417" w:type="dxa"/>
            <w:noWrap w:val="0"/>
            <w:vAlign w:val="center"/>
          </w:tcPr>
          <w:p>
            <w:pPr>
              <w:spacing w:line="360" w:lineRule="exact"/>
              <w:jc w:val="center"/>
              <w:rPr>
                <w:lang w:val="en-US"/>
              </w:rPr>
            </w:pPr>
            <w:r>
              <w:rPr>
                <w:lang w:val="en-US"/>
              </w:rPr>
              <w:t>286.43</w:t>
            </w:r>
          </w:p>
        </w:tc>
        <w:tc>
          <w:tcPr>
            <w:tcW w:w="2552" w:type="dxa"/>
            <w:noWrap w:val="0"/>
            <w:vAlign w:val="center"/>
          </w:tcPr>
          <w:p>
            <w:pPr>
              <w:spacing w:line="360" w:lineRule="exact"/>
              <w:jc w:val="center"/>
              <w:rPr>
                <w:lang w:val="en-US"/>
              </w:rPr>
            </w:pPr>
            <w:r>
              <w:rPr>
                <w:lang w:val="en-US"/>
              </w:rPr>
              <w:t>286.43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未命名(84A0)</w:t>
            </w:r>
          </w:p>
        </w:tc>
        <w:tc>
          <w:tcPr>
            <w:tcW w:w="1417" w:type="dxa"/>
            <w:noWrap w:val="0"/>
            <w:vAlign w:val="center"/>
          </w:tcPr>
          <w:p>
            <w:pPr>
              <w:spacing w:line="360" w:lineRule="exact"/>
              <w:jc w:val="center"/>
              <w:rPr>
                <w:lang w:val="en-US"/>
              </w:rPr>
            </w:pPr>
            <w:r>
              <w:rPr>
                <w:lang w:val="en-US"/>
              </w:rPr>
              <w:t>527.88</w:t>
            </w:r>
          </w:p>
        </w:tc>
        <w:tc>
          <w:tcPr>
            <w:tcW w:w="2552" w:type="dxa"/>
            <w:noWrap w:val="0"/>
            <w:vAlign w:val="center"/>
          </w:tcPr>
          <w:p>
            <w:pPr>
              <w:spacing w:line="360" w:lineRule="exact"/>
              <w:jc w:val="center"/>
              <w:rPr>
                <w:lang w:val="en-US"/>
              </w:rPr>
            </w:pPr>
            <w:r>
              <w:rPr>
                <w:lang w:val="en-US"/>
              </w:rPr>
              <w:t>527.88</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未命名(84A3)</w:t>
            </w:r>
          </w:p>
        </w:tc>
        <w:tc>
          <w:tcPr>
            <w:tcW w:w="1417" w:type="dxa"/>
            <w:noWrap w:val="0"/>
            <w:vAlign w:val="center"/>
          </w:tcPr>
          <w:p>
            <w:pPr>
              <w:spacing w:line="360" w:lineRule="exact"/>
              <w:jc w:val="center"/>
              <w:rPr>
                <w:lang w:val="en-US"/>
              </w:rPr>
            </w:pPr>
            <w:r>
              <w:rPr>
                <w:lang w:val="en-US"/>
              </w:rPr>
              <w:t>716.75</w:t>
            </w:r>
          </w:p>
        </w:tc>
        <w:tc>
          <w:tcPr>
            <w:tcW w:w="2552" w:type="dxa"/>
            <w:noWrap w:val="0"/>
            <w:vAlign w:val="center"/>
          </w:tcPr>
          <w:p>
            <w:pPr>
              <w:spacing w:line="360" w:lineRule="exact"/>
              <w:jc w:val="center"/>
              <w:rPr>
                <w:lang w:val="en-US"/>
              </w:rPr>
            </w:pPr>
            <w:r>
              <w:rPr>
                <w:lang w:val="en-US"/>
              </w:rPr>
              <w:t>716.75</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未命名(84A6)</w:t>
            </w:r>
          </w:p>
        </w:tc>
        <w:tc>
          <w:tcPr>
            <w:tcW w:w="1417" w:type="dxa"/>
            <w:noWrap w:val="0"/>
            <w:vAlign w:val="center"/>
          </w:tcPr>
          <w:p>
            <w:pPr>
              <w:spacing w:line="360" w:lineRule="exact"/>
              <w:jc w:val="center"/>
              <w:rPr>
                <w:lang w:val="en-US"/>
              </w:rPr>
            </w:pPr>
            <w:r>
              <w:rPr>
                <w:lang w:val="en-US"/>
              </w:rPr>
              <w:t>602.93</w:t>
            </w:r>
          </w:p>
        </w:tc>
        <w:tc>
          <w:tcPr>
            <w:tcW w:w="2552" w:type="dxa"/>
            <w:noWrap w:val="0"/>
            <w:vAlign w:val="center"/>
          </w:tcPr>
          <w:p>
            <w:pPr>
              <w:spacing w:line="360" w:lineRule="exact"/>
              <w:jc w:val="center"/>
              <w:rPr>
                <w:lang w:val="en-US"/>
              </w:rPr>
            </w:pPr>
            <w:r>
              <w:rPr>
                <w:lang w:val="en-US"/>
              </w:rPr>
              <w:t>602.93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未命名(84A9)</w:t>
            </w:r>
          </w:p>
        </w:tc>
        <w:tc>
          <w:tcPr>
            <w:tcW w:w="1417" w:type="dxa"/>
            <w:noWrap w:val="0"/>
            <w:vAlign w:val="center"/>
          </w:tcPr>
          <w:p>
            <w:pPr>
              <w:spacing w:line="360" w:lineRule="exact"/>
              <w:jc w:val="center"/>
              <w:rPr>
                <w:lang w:val="en-US"/>
              </w:rPr>
            </w:pPr>
            <w:r>
              <w:rPr>
                <w:lang w:val="en-US"/>
              </w:rPr>
              <w:t>604.69</w:t>
            </w:r>
          </w:p>
        </w:tc>
        <w:tc>
          <w:tcPr>
            <w:tcW w:w="2552" w:type="dxa"/>
            <w:noWrap w:val="0"/>
            <w:vAlign w:val="center"/>
          </w:tcPr>
          <w:p>
            <w:pPr>
              <w:spacing w:line="360" w:lineRule="exact"/>
              <w:jc w:val="center"/>
              <w:rPr>
                <w:lang w:val="en-US"/>
              </w:rPr>
            </w:pPr>
            <w:r>
              <w:rPr>
                <w:lang w:val="en-US"/>
              </w:rPr>
              <w:t>604.69</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未命名(84C0)</w:t>
            </w:r>
          </w:p>
        </w:tc>
        <w:tc>
          <w:tcPr>
            <w:tcW w:w="1417" w:type="dxa"/>
            <w:noWrap w:val="0"/>
            <w:vAlign w:val="center"/>
          </w:tcPr>
          <w:p>
            <w:pPr>
              <w:spacing w:line="360" w:lineRule="exact"/>
              <w:jc w:val="center"/>
              <w:rPr>
                <w:lang w:val="en-US"/>
              </w:rPr>
            </w:pPr>
            <w:r>
              <w:rPr>
                <w:lang w:val="en-US"/>
              </w:rPr>
              <w:t>259.73</w:t>
            </w:r>
          </w:p>
        </w:tc>
        <w:tc>
          <w:tcPr>
            <w:tcW w:w="2552" w:type="dxa"/>
            <w:noWrap w:val="0"/>
            <w:vAlign w:val="center"/>
          </w:tcPr>
          <w:p>
            <w:pPr>
              <w:spacing w:line="360" w:lineRule="exact"/>
              <w:jc w:val="center"/>
              <w:rPr>
                <w:lang w:val="en-US"/>
              </w:rPr>
            </w:pPr>
            <w:r>
              <w:rPr>
                <w:lang w:val="en-US"/>
              </w:rPr>
              <w:t>259.73</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未命名(84C3)</w:t>
            </w:r>
          </w:p>
        </w:tc>
        <w:tc>
          <w:tcPr>
            <w:tcW w:w="1417" w:type="dxa"/>
            <w:noWrap w:val="0"/>
            <w:vAlign w:val="center"/>
          </w:tcPr>
          <w:p>
            <w:pPr>
              <w:spacing w:line="360" w:lineRule="exact"/>
              <w:jc w:val="center"/>
              <w:rPr>
                <w:lang w:val="en-US"/>
              </w:rPr>
            </w:pPr>
            <w:r>
              <w:rPr>
                <w:lang w:val="en-US"/>
              </w:rPr>
              <w:t>225.47</w:t>
            </w:r>
          </w:p>
        </w:tc>
        <w:tc>
          <w:tcPr>
            <w:tcW w:w="2552" w:type="dxa"/>
            <w:noWrap w:val="0"/>
            <w:vAlign w:val="center"/>
          </w:tcPr>
          <w:p>
            <w:pPr>
              <w:spacing w:line="360" w:lineRule="exact"/>
              <w:jc w:val="center"/>
              <w:rPr>
                <w:lang w:val="en-US"/>
              </w:rPr>
            </w:pPr>
            <w:r>
              <w:rPr>
                <w:lang w:val="en-US"/>
              </w:rPr>
              <w:t>225.47</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未命名(84C6)</w:t>
            </w:r>
          </w:p>
        </w:tc>
        <w:tc>
          <w:tcPr>
            <w:tcW w:w="1417" w:type="dxa"/>
            <w:noWrap w:val="0"/>
            <w:vAlign w:val="center"/>
          </w:tcPr>
          <w:p>
            <w:pPr>
              <w:spacing w:line="360" w:lineRule="exact"/>
              <w:jc w:val="center"/>
              <w:rPr>
                <w:lang w:val="en-US"/>
              </w:rPr>
            </w:pPr>
            <w:r>
              <w:rPr>
                <w:lang w:val="en-US"/>
              </w:rPr>
              <w:t>199.32</w:t>
            </w:r>
          </w:p>
        </w:tc>
        <w:tc>
          <w:tcPr>
            <w:tcW w:w="2552" w:type="dxa"/>
            <w:noWrap w:val="0"/>
            <w:vAlign w:val="center"/>
          </w:tcPr>
          <w:p>
            <w:pPr>
              <w:spacing w:line="360" w:lineRule="exact"/>
              <w:jc w:val="center"/>
              <w:rPr>
                <w:lang w:val="en-US"/>
              </w:rPr>
            </w:pPr>
            <w:r>
              <w:rPr>
                <w:lang w:val="en-US"/>
              </w:rPr>
              <w:t>199.32</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未命名(84C9)</w:t>
            </w:r>
          </w:p>
        </w:tc>
        <w:tc>
          <w:tcPr>
            <w:tcW w:w="1417" w:type="dxa"/>
            <w:noWrap w:val="0"/>
            <w:vAlign w:val="center"/>
          </w:tcPr>
          <w:p>
            <w:pPr>
              <w:spacing w:line="360" w:lineRule="exact"/>
              <w:jc w:val="center"/>
              <w:rPr>
                <w:lang w:val="en-US"/>
              </w:rPr>
            </w:pPr>
            <w:r>
              <w:rPr>
                <w:lang w:val="en-US"/>
              </w:rPr>
              <w:t>214.22</w:t>
            </w:r>
          </w:p>
        </w:tc>
        <w:tc>
          <w:tcPr>
            <w:tcW w:w="2552" w:type="dxa"/>
            <w:noWrap w:val="0"/>
            <w:vAlign w:val="center"/>
          </w:tcPr>
          <w:p>
            <w:pPr>
              <w:spacing w:line="360" w:lineRule="exact"/>
              <w:jc w:val="center"/>
              <w:rPr>
                <w:lang w:val="en-US"/>
              </w:rPr>
            </w:pPr>
            <w:r>
              <w:rPr>
                <w:lang w:val="en-US"/>
              </w:rPr>
              <w:t>214.22</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未命名(84CC)</w:t>
            </w:r>
          </w:p>
        </w:tc>
        <w:tc>
          <w:tcPr>
            <w:tcW w:w="1417" w:type="dxa"/>
            <w:noWrap w:val="0"/>
            <w:vAlign w:val="center"/>
          </w:tcPr>
          <w:p>
            <w:pPr>
              <w:spacing w:line="360" w:lineRule="exact"/>
              <w:jc w:val="center"/>
              <w:rPr>
                <w:lang w:val="en-US"/>
              </w:rPr>
            </w:pPr>
            <w:r>
              <w:rPr>
                <w:lang w:val="en-US"/>
              </w:rPr>
              <w:t>208.49</w:t>
            </w:r>
          </w:p>
        </w:tc>
        <w:tc>
          <w:tcPr>
            <w:tcW w:w="2552" w:type="dxa"/>
            <w:noWrap w:val="0"/>
            <w:vAlign w:val="center"/>
          </w:tcPr>
          <w:p>
            <w:pPr>
              <w:spacing w:line="360" w:lineRule="exact"/>
              <w:jc w:val="center"/>
              <w:rPr>
                <w:lang w:val="en-US"/>
              </w:rPr>
            </w:pPr>
            <w:r>
              <w:rPr>
                <w:lang w:val="en-US"/>
              </w:rPr>
              <w:t>208.49</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未命名(84D6)</w:t>
            </w:r>
          </w:p>
        </w:tc>
        <w:tc>
          <w:tcPr>
            <w:tcW w:w="1417" w:type="dxa"/>
            <w:noWrap w:val="0"/>
            <w:vAlign w:val="center"/>
          </w:tcPr>
          <w:p>
            <w:pPr>
              <w:spacing w:line="360" w:lineRule="exact"/>
              <w:jc w:val="center"/>
              <w:rPr>
                <w:lang w:val="en-US"/>
              </w:rPr>
            </w:pPr>
            <w:r>
              <w:rPr>
                <w:lang w:val="en-US"/>
              </w:rPr>
              <w:t>768.21</w:t>
            </w:r>
          </w:p>
        </w:tc>
        <w:tc>
          <w:tcPr>
            <w:tcW w:w="2552" w:type="dxa"/>
            <w:noWrap w:val="0"/>
            <w:vAlign w:val="center"/>
          </w:tcPr>
          <w:p>
            <w:pPr>
              <w:spacing w:line="360" w:lineRule="exact"/>
              <w:jc w:val="center"/>
              <w:rPr>
                <w:lang w:val="en-US"/>
              </w:rPr>
            </w:pPr>
            <w:r>
              <w:rPr>
                <w:lang w:val="en-US"/>
              </w:rPr>
              <w:t>768.21</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未命名(84DC)</w:t>
            </w:r>
          </w:p>
        </w:tc>
        <w:tc>
          <w:tcPr>
            <w:tcW w:w="1417" w:type="dxa"/>
            <w:noWrap w:val="0"/>
            <w:vAlign w:val="center"/>
          </w:tcPr>
          <w:p>
            <w:pPr>
              <w:spacing w:line="360" w:lineRule="exact"/>
              <w:jc w:val="center"/>
              <w:rPr>
                <w:lang w:val="en-US"/>
              </w:rPr>
            </w:pPr>
            <w:r>
              <w:rPr>
                <w:lang w:val="en-US"/>
              </w:rPr>
              <w:t>419.06</w:t>
            </w:r>
          </w:p>
        </w:tc>
        <w:tc>
          <w:tcPr>
            <w:tcW w:w="2552" w:type="dxa"/>
            <w:noWrap w:val="0"/>
            <w:vAlign w:val="center"/>
          </w:tcPr>
          <w:p>
            <w:pPr>
              <w:spacing w:line="360" w:lineRule="exact"/>
              <w:jc w:val="center"/>
              <w:rPr>
                <w:lang w:val="en-US"/>
              </w:rPr>
            </w:pPr>
            <w:r>
              <w:rPr>
                <w:lang w:val="en-US"/>
              </w:rPr>
              <w:t>419.06</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未命名(84DF)</w:t>
            </w:r>
          </w:p>
        </w:tc>
        <w:tc>
          <w:tcPr>
            <w:tcW w:w="1417" w:type="dxa"/>
            <w:noWrap w:val="0"/>
            <w:vAlign w:val="center"/>
          </w:tcPr>
          <w:p>
            <w:pPr>
              <w:spacing w:line="360" w:lineRule="exact"/>
              <w:jc w:val="center"/>
              <w:rPr>
                <w:lang w:val="en-US"/>
              </w:rPr>
            </w:pPr>
            <w:r>
              <w:rPr>
                <w:lang w:val="en-US"/>
              </w:rPr>
              <w:t>622.57</w:t>
            </w:r>
          </w:p>
        </w:tc>
        <w:tc>
          <w:tcPr>
            <w:tcW w:w="2552" w:type="dxa"/>
            <w:noWrap w:val="0"/>
            <w:vAlign w:val="center"/>
          </w:tcPr>
          <w:p>
            <w:pPr>
              <w:spacing w:line="360" w:lineRule="exact"/>
              <w:jc w:val="center"/>
              <w:rPr>
                <w:lang w:val="en-US"/>
              </w:rPr>
            </w:pPr>
            <w:r>
              <w:rPr>
                <w:lang w:val="en-US"/>
              </w:rPr>
              <w:t>622.57</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noWrap w:val="0"/>
            <w:vAlign w:val="center"/>
          </w:tcPr>
          <w:p>
            <w:pPr>
              <w:spacing w:line="360" w:lineRule="exact"/>
              <w:jc w:val="center"/>
              <w:rPr>
                <w:lang w:val="en-US"/>
              </w:rPr>
            </w:pPr>
            <w:r>
              <w:rPr>
                <w:lang w:val="en-US"/>
              </w:rPr>
              <w:t>未命名(84E2)</w:t>
            </w:r>
          </w:p>
        </w:tc>
        <w:tc>
          <w:tcPr>
            <w:tcW w:w="1417" w:type="dxa"/>
            <w:noWrap w:val="0"/>
            <w:vAlign w:val="center"/>
          </w:tcPr>
          <w:p>
            <w:pPr>
              <w:spacing w:line="360" w:lineRule="exact"/>
              <w:jc w:val="center"/>
              <w:rPr>
                <w:lang w:val="en-US"/>
              </w:rPr>
            </w:pPr>
            <w:r>
              <w:rPr>
                <w:lang w:val="en-US"/>
              </w:rPr>
              <w:t>770.89</w:t>
            </w:r>
          </w:p>
        </w:tc>
        <w:tc>
          <w:tcPr>
            <w:tcW w:w="2552" w:type="dxa"/>
            <w:noWrap w:val="0"/>
            <w:vAlign w:val="center"/>
          </w:tcPr>
          <w:p>
            <w:pPr>
              <w:spacing w:line="360" w:lineRule="exact"/>
              <w:jc w:val="center"/>
              <w:rPr>
                <w:lang w:val="en-US"/>
              </w:rPr>
            </w:pPr>
            <w:r>
              <w:rPr>
                <w:lang w:val="en-US"/>
              </w:rPr>
              <w:t>770.89</w:t>
            </w:r>
          </w:p>
        </w:tc>
        <w:tc>
          <w:tcPr>
            <w:tcW w:w="1134" w:type="dxa"/>
            <w:noWrap w:val="0"/>
            <w:vAlign w:val="center"/>
          </w:tcPr>
          <w:p>
            <w:pPr>
              <w:spacing w:line="360" w:lineRule="exact"/>
              <w:jc w:val="center"/>
              <w:rPr>
                <w:lang w:val="en-US"/>
              </w:rPr>
            </w:pPr>
            <w:r>
              <w:rPr>
                <w:lang w:val="en-US"/>
              </w:rPr>
              <w:t>100.00</w:t>
            </w:r>
          </w:p>
        </w:tc>
        <w:tc>
          <w:tcPr>
            <w:tcW w:w="835" w:type="dxa"/>
            <w:noWrap w:val="0"/>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bookmarkStart w:id="135" w:name="建筑室内外风压差达标判定"/>
      <w:r>
        <w:rPr>
          <w:rFonts w:hint="eastAsia"/>
        </w:rPr>
        <w:t xml:space="preserve"> </w:t>
      </w:r>
      <w:bookmarkEnd w:id="135"/>
    </w:p>
    <w:p>
      <w:pPr>
        <w:rPr>
          <w:lang w:val="en-US"/>
        </w:rPr>
      </w:pPr>
      <w:bookmarkStart w:id="136" w:name="建筑室内外风压差达标判定结论"/>
      <w:r>
        <w:rPr>
          <w:rFonts w:hint="eastAsia"/>
          <w:lang w:val="en-US"/>
        </w:rPr>
        <w:t>结论：本项目中所有建筑均满足“50%以上可开启外窗室内外表面的风压差大于0.5Pa”的要求。</w:t>
      </w:r>
      <w:bookmarkEnd w:id="136"/>
      <w:r>
        <w:rPr>
          <w:rFonts w:hint="eastAsia"/>
          <w:lang w:val="en-US"/>
        </w:rPr>
        <w:t xml:space="preserve"> </w:t>
      </w:r>
    </w:p>
    <w:p>
      <w:pPr>
        <w:rPr>
          <w:lang w:val="en-US"/>
        </w:rPr>
      </w:pPr>
      <w:bookmarkStart w:id="137" w:name="其他工况"/>
      <w:bookmarkEnd w:id="137"/>
      <w:r>
        <w:rPr>
          <w:rFonts w:hint="eastAsia"/>
          <w:lang w:val="en-US"/>
        </w:rPr>
        <w:t xml:space="preserve"> </w:t>
      </w:r>
    </w:p>
    <w:p>
      <w:pPr>
        <w:pStyle w:val="4"/>
      </w:pPr>
      <w:bookmarkStart w:id="138" w:name="_Toc509844764"/>
      <w:bookmarkStart w:id="139" w:name="_Toc92121775"/>
      <w:r>
        <w:rPr>
          <w:rFonts w:hint="eastAsia"/>
        </w:rPr>
        <w:t>结论</w:t>
      </w:r>
      <w:bookmarkEnd w:id="138"/>
      <w:bookmarkEnd w:id="139"/>
    </w:p>
    <w:p>
      <w:pPr>
        <w:pStyle w:val="5"/>
      </w:pPr>
      <w:bookmarkStart w:id="140" w:name="_Toc509844765"/>
      <w:bookmarkStart w:id="141" w:name="_Toc92121776"/>
      <w:r>
        <w:rPr>
          <w:rFonts w:hint="eastAsia"/>
        </w:rPr>
        <w:t>冬季工况达标判断</w:t>
      </w:r>
      <w:bookmarkEnd w:id="140"/>
      <w:bookmarkEnd w:id="141"/>
      <w:bookmarkStart w:id="142" w:name="_Toc509844766"/>
      <w:bookmarkEnd w:id="142"/>
    </w:p>
    <w:p>
      <w:pPr>
        <w:pStyle w:val="3"/>
        <w:ind w:firstLine="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3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E6E6E6" w:fill="E6E6E6"/>
            <w:noWrap w:val="0"/>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E6E6E6" w:fill="E6E6E6"/>
            <w:noWrap w:val="0"/>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E6E6E6" w:fill="E6E6E6"/>
            <w:noWrap w:val="0"/>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E6E6E6" w:fill="E6E6E6"/>
            <w:noWrap w:val="0"/>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E6E6E6" w:fill="E6E6E6"/>
            <w:noWrap w:val="0"/>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noWrap w:val="0"/>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noWrap w:val="0"/>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noWrap w:val="0"/>
            <w:vAlign w:val="center"/>
          </w:tcPr>
          <w:p>
            <w:pPr>
              <w:jc w:val="center"/>
              <w:rPr>
                <w:lang w:val="en-US"/>
              </w:rPr>
            </w:pPr>
            <w:r>
              <w:rPr>
                <w:rFonts w:hint="eastAsia"/>
                <w:lang w:val="en-US"/>
              </w:rPr>
              <w:t>人行区</w:t>
            </w:r>
            <w:bookmarkStart w:id="143" w:name="冬季风速结果"/>
            <w:r>
              <w:t>没有出现</w:t>
            </w:r>
            <w:bookmarkEnd w:id="143"/>
            <w:r>
              <w:rPr>
                <w:rFonts w:hint="eastAsia"/>
                <w:lang w:val="en-US"/>
              </w:rPr>
              <w:t>风速大于</w:t>
            </w:r>
            <w:r>
              <w:rPr>
                <w:lang w:val="en-US"/>
              </w:rPr>
              <w:t>5m/s</w:t>
            </w:r>
            <w:r>
              <w:rPr>
                <w:rFonts w:hint="eastAsia"/>
                <w:lang w:val="en-US"/>
              </w:rPr>
              <w:t>的区域，户外休息区、儿童娱乐区</w:t>
            </w:r>
            <w:bookmarkStart w:id="144" w:name="冬季风速结果2"/>
            <w:r>
              <w:t>没有出现</w:t>
            </w:r>
            <w:bookmarkEnd w:id="144"/>
            <w:r>
              <w:rPr>
                <w:rFonts w:hint="eastAsia"/>
                <w:lang w:val="en-US"/>
              </w:rPr>
              <w:t>风速大于2m/s的区域</w:t>
            </w:r>
          </w:p>
        </w:tc>
        <w:tc>
          <w:tcPr>
            <w:tcW w:w="1985" w:type="dxa"/>
            <w:vMerge w:val="restart"/>
            <w:tcBorders>
              <w:top w:val="single" w:color="auto" w:sz="4" w:space="0"/>
            </w:tcBorders>
            <w:shd w:val="clear" w:color="auto" w:fill="auto"/>
            <w:noWrap w:val="0"/>
            <w:vAlign w:val="center"/>
          </w:tcPr>
          <w:p>
            <w:pPr>
              <w:jc w:val="center"/>
              <w:rPr>
                <w:b/>
                <w:lang w:val="en-US"/>
              </w:rPr>
            </w:pPr>
            <w:bookmarkStart w:id="145" w:name="冬季风速达标判定"/>
            <w:r>
              <w:rPr>
                <w:rFonts w:hint="eastAsia"/>
                <w:b/>
                <w:lang w:val="en-US"/>
              </w:rPr>
              <w:t>达标</w:t>
            </w:r>
            <w:bookmarkEnd w:id="145"/>
          </w:p>
        </w:tc>
        <w:tc>
          <w:tcPr>
            <w:tcW w:w="1416" w:type="dxa"/>
            <w:vMerge w:val="restart"/>
            <w:tcBorders>
              <w:top w:val="single" w:color="auto" w:sz="4" w:space="0"/>
            </w:tcBorders>
            <w:shd w:val="clear" w:color="auto" w:fill="auto"/>
            <w:noWrap w:val="0"/>
            <w:vAlign w:val="center"/>
          </w:tcPr>
          <w:p>
            <w:pPr>
              <w:jc w:val="center"/>
              <w:rPr>
                <w:lang w:val="en-US"/>
              </w:rPr>
            </w:pPr>
            <w:bookmarkStart w:id="146" w:name="冬季风速得分"/>
            <w:r>
              <w:rPr>
                <w:rFonts w:hint="eastAsia"/>
                <w:lang w:val="en-US"/>
              </w:rPr>
              <w:t>3</w:t>
            </w:r>
            <w:bookmarkEnd w:id="146"/>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noWrap w:val="0"/>
            <w:vAlign w:val="center"/>
          </w:tcPr>
          <w:p>
            <w:pPr>
              <w:jc w:val="center"/>
              <w:rPr>
                <w:lang w:val="en-US"/>
              </w:rPr>
            </w:pPr>
            <w:r>
              <w:rPr>
                <w:rFonts w:hint="eastAsia"/>
                <w:lang w:val="en-US"/>
              </w:rPr>
              <w:t>风速放大系数</w:t>
            </w:r>
          </w:p>
        </w:tc>
        <w:tc>
          <w:tcPr>
            <w:tcW w:w="1985" w:type="dxa"/>
            <w:vMerge w:val="continue"/>
            <w:shd w:val="clear" w:color="auto" w:fill="auto"/>
            <w:noWrap w:val="0"/>
          </w:tcPr>
          <w:p>
            <w:pPr>
              <w:jc w:val="center"/>
              <w:rPr>
                <w:lang w:val="en-US"/>
              </w:rPr>
            </w:pPr>
          </w:p>
        </w:tc>
        <w:tc>
          <w:tcPr>
            <w:tcW w:w="1985" w:type="dxa"/>
            <w:shd w:val="clear" w:color="auto" w:fill="auto"/>
            <w:noWrap w:val="0"/>
            <w:vAlign w:val="center"/>
          </w:tcPr>
          <w:p>
            <w:pPr>
              <w:jc w:val="center"/>
              <w:rPr>
                <w:lang w:val="en-US"/>
              </w:rPr>
            </w:pPr>
            <w:r>
              <w:rPr>
                <w:rFonts w:hint="eastAsia"/>
                <w:lang w:val="en-US"/>
              </w:rPr>
              <w:t>人行区</w:t>
            </w:r>
            <w:bookmarkStart w:id="147" w:name="冬季风速放大系数结果"/>
            <w:r>
              <w:t>没有出现</w:t>
            </w:r>
            <w:bookmarkEnd w:id="147"/>
            <w:r>
              <w:rPr>
                <w:rFonts w:hint="eastAsia"/>
                <w:lang w:val="en-US"/>
              </w:rPr>
              <w:t>风速放大系数大于等于2的区域</w:t>
            </w:r>
          </w:p>
        </w:tc>
        <w:tc>
          <w:tcPr>
            <w:tcW w:w="1985" w:type="dxa"/>
            <w:vMerge w:val="continue"/>
            <w:shd w:val="clear" w:color="auto" w:fill="auto"/>
            <w:noWrap w:val="0"/>
          </w:tcPr>
          <w:p>
            <w:pPr>
              <w:jc w:val="center"/>
              <w:rPr>
                <w:lang w:val="en-US"/>
              </w:rPr>
            </w:pPr>
          </w:p>
        </w:tc>
        <w:tc>
          <w:tcPr>
            <w:tcW w:w="1416" w:type="dxa"/>
            <w:vMerge w:val="continue"/>
            <w:shd w:val="clear" w:color="auto" w:fill="auto"/>
            <w:noWrap w:val="0"/>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noWrap w:val="0"/>
            <w:vAlign w:val="center"/>
          </w:tcPr>
          <w:p>
            <w:pPr>
              <w:jc w:val="center"/>
              <w:rPr>
                <w:lang w:val="en-US"/>
              </w:rPr>
            </w:pPr>
            <w:r>
              <w:rPr>
                <w:rFonts w:hint="eastAsia"/>
                <w:lang w:val="en-US"/>
              </w:rPr>
              <w:t>建筑迎风面/背风面风压值</w:t>
            </w:r>
          </w:p>
        </w:tc>
        <w:tc>
          <w:tcPr>
            <w:tcW w:w="1985" w:type="dxa"/>
            <w:shd w:val="clear" w:color="auto" w:fill="auto"/>
            <w:noWrap w:val="0"/>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noWrap w:val="0"/>
            <w:vAlign w:val="center"/>
          </w:tcPr>
          <w:p>
            <w:pPr>
              <w:jc w:val="center"/>
              <w:rPr>
                <w:lang w:val="en-US"/>
              </w:rPr>
            </w:pPr>
            <w:r>
              <w:rPr>
                <w:rFonts w:hint="eastAsia"/>
                <w:lang w:val="en-US"/>
              </w:rPr>
              <w:t>本项目</w:t>
            </w:r>
            <w:bookmarkStart w:id="148" w:name="冬季迎背风面结果"/>
            <w:r>
              <w:t>没有出现</w:t>
            </w:r>
            <w:bookmarkEnd w:id="148"/>
            <w:r>
              <w:rPr>
                <w:rFonts w:hint="eastAsia"/>
                <w:lang w:val="en-US"/>
              </w:rPr>
              <w:t>建筑迎风面与背风面表面风压差大于5Pa的建筑</w:t>
            </w:r>
          </w:p>
        </w:tc>
        <w:tc>
          <w:tcPr>
            <w:tcW w:w="1985" w:type="dxa"/>
            <w:shd w:val="clear" w:color="auto" w:fill="auto"/>
            <w:noWrap w:val="0"/>
            <w:vAlign w:val="center"/>
          </w:tcPr>
          <w:p>
            <w:pPr>
              <w:jc w:val="center"/>
              <w:rPr>
                <w:lang w:val="en-US"/>
              </w:rPr>
            </w:pPr>
            <w:bookmarkStart w:id="149" w:name="冬季迎背风面达标判定"/>
            <w:r>
              <w:rPr>
                <w:rFonts w:hint="eastAsia"/>
                <w:b/>
                <w:lang w:val="en-US"/>
              </w:rPr>
              <w:t>达标</w:t>
            </w:r>
            <w:bookmarkEnd w:id="149"/>
          </w:p>
        </w:tc>
        <w:tc>
          <w:tcPr>
            <w:tcW w:w="1416" w:type="dxa"/>
            <w:shd w:val="clear" w:color="auto" w:fill="auto"/>
            <w:noWrap w:val="0"/>
            <w:vAlign w:val="center"/>
          </w:tcPr>
          <w:p>
            <w:pPr>
              <w:jc w:val="center"/>
              <w:rPr>
                <w:lang w:val="en-US"/>
              </w:rPr>
            </w:pPr>
            <w:bookmarkStart w:id="150" w:name="冬季迎背风面得分"/>
            <w:r>
              <w:rPr>
                <w:rFonts w:hint="eastAsia"/>
                <w:lang w:val="en-US"/>
              </w:rPr>
              <w:t>2</w:t>
            </w:r>
            <w:bookmarkEnd w:id="150"/>
            <w:r>
              <w:rPr>
                <w:rFonts w:hint="eastAsia"/>
                <w:lang w:val="en-US"/>
              </w:rPr>
              <w:t>分</w:t>
            </w:r>
          </w:p>
        </w:tc>
      </w:tr>
    </w:tbl>
    <w:p>
      <w:pPr>
        <w:rPr>
          <w:sz w:val="21"/>
          <w:szCs w:val="21"/>
          <w:lang w:val="en-US"/>
        </w:rPr>
      </w:pPr>
    </w:p>
    <w:p>
      <w:pPr>
        <w:pStyle w:val="5"/>
      </w:pPr>
      <w:bookmarkStart w:id="151" w:name="_Toc509844768"/>
      <w:bookmarkEnd w:id="151"/>
      <w:bookmarkStart w:id="152" w:name="_Toc509844767"/>
      <w:bookmarkEnd w:id="152"/>
      <w:bookmarkStart w:id="153" w:name="_Toc509844769"/>
      <w:bookmarkStart w:id="154" w:name="_Toc92121777"/>
      <w:r>
        <w:rPr>
          <w:rFonts w:hint="eastAsia"/>
        </w:rPr>
        <w:t>过渡季、夏季工况达标判断</w:t>
      </w:r>
      <w:bookmarkEnd w:id="153"/>
      <w:bookmarkEnd w:id="154"/>
    </w:p>
    <w:p>
      <w:pPr>
        <w:pStyle w:val="3"/>
        <w:ind w:firstLine="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3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E6E6E6" w:fill="E6E6E6"/>
            <w:noWrap w:val="0"/>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E6E6E6" w:fill="E6E6E6"/>
            <w:noWrap w:val="0"/>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E6E6E6" w:fill="E6E6E6"/>
            <w:noWrap w:val="0"/>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E6E6E6" w:fill="E6E6E6"/>
            <w:noWrap w:val="0"/>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E6E6E6" w:fill="E6E6E6"/>
            <w:noWrap w:val="0"/>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noWrap w:val="0"/>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noWrap w:val="0"/>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noWrap w:val="0"/>
            <w:vAlign w:val="center"/>
          </w:tcPr>
          <w:p>
            <w:pPr>
              <w:jc w:val="center"/>
              <w:rPr>
                <w:lang w:val="en-US"/>
              </w:rPr>
            </w:pPr>
            <w:r>
              <w:rPr>
                <w:rFonts w:hint="eastAsia"/>
                <w:lang w:val="en-US"/>
              </w:rPr>
              <w:t>人行区</w:t>
            </w:r>
            <w:bookmarkStart w:id="155" w:name="夏季无风区结果"/>
            <w:r>
              <w:rPr>
                <w:rFonts w:hint="eastAsia"/>
                <w:lang w:val="en-US"/>
              </w:rPr>
              <w:t>有</w:t>
            </w:r>
            <w:bookmarkEnd w:id="155"/>
            <w:r>
              <w:rPr>
                <w:rFonts w:hint="eastAsia"/>
                <w:lang w:val="en-US"/>
              </w:rPr>
              <w:t>无风区</w:t>
            </w:r>
          </w:p>
        </w:tc>
        <w:tc>
          <w:tcPr>
            <w:tcW w:w="1985" w:type="dxa"/>
            <w:vMerge w:val="restart"/>
            <w:tcBorders>
              <w:top w:val="single" w:color="auto" w:sz="4" w:space="0"/>
            </w:tcBorders>
            <w:shd w:val="clear" w:color="auto" w:fill="auto"/>
            <w:noWrap w:val="0"/>
            <w:vAlign w:val="center"/>
          </w:tcPr>
          <w:p>
            <w:pPr>
              <w:jc w:val="center"/>
              <w:rPr>
                <w:lang w:val="en-US"/>
              </w:rPr>
            </w:pPr>
            <w:bookmarkStart w:id="156" w:name="夏季无风区达标判定"/>
            <w:r>
              <w:rPr>
                <w:rFonts w:hint="eastAsia"/>
                <w:b/>
                <w:color w:val="FF0000"/>
                <w:lang w:val="en-US"/>
              </w:rPr>
              <w:t>不达标</w:t>
            </w:r>
            <w:bookmarkEnd w:id="156"/>
          </w:p>
        </w:tc>
        <w:tc>
          <w:tcPr>
            <w:tcW w:w="1416" w:type="dxa"/>
            <w:vMerge w:val="restart"/>
            <w:tcBorders>
              <w:top w:val="single" w:color="auto" w:sz="4" w:space="0"/>
            </w:tcBorders>
            <w:shd w:val="clear" w:color="auto" w:fill="auto"/>
            <w:noWrap w:val="0"/>
            <w:vAlign w:val="center"/>
          </w:tcPr>
          <w:p>
            <w:pPr>
              <w:jc w:val="center"/>
              <w:rPr>
                <w:lang w:val="en-US"/>
              </w:rPr>
            </w:pPr>
            <w:bookmarkStart w:id="157" w:name="夏季无风区得分"/>
            <w:r>
              <w:rPr>
                <w:rFonts w:hint="eastAsia"/>
                <w:lang w:val="en-US"/>
              </w:rPr>
              <w:t>0</w:t>
            </w:r>
            <w:bookmarkEnd w:id="15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noWrap w:val="0"/>
            <w:vAlign w:val="center"/>
          </w:tcPr>
          <w:p>
            <w:pPr>
              <w:jc w:val="center"/>
              <w:rPr>
                <w:lang w:val="en-US"/>
              </w:rPr>
            </w:pPr>
            <w:r>
              <w:rPr>
                <w:rFonts w:hint="eastAsia"/>
                <w:lang w:val="en-US"/>
              </w:rPr>
              <w:t>旋涡区</w:t>
            </w:r>
          </w:p>
        </w:tc>
        <w:tc>
          <w:tcPr>
            <w:tcW w:w="1985" w:type="dxa"/>
            <w:vMerge w:val="continue"/>
            <w:shd w:val="clear" w:color="auto" w:fill="auto"/>
            <w:noWrap w:val="0"/>
          </w:tcPr>
          <w:p>
            <w:pPr>
              <w:jc w:val="center"/>
              <w:rPr>
                <w:lang w:val="en-US"/>
              </w:rPr>
            </w:pPr>
          </w:p>
        </w:tc>
        <w:tc>
          <w:tcPr>
            <w:tcW w:w="1985" w:type="dxa"/>
            <w:shd w:val="clear" w:color="auto" w:fill="auto"/>
            <w:noWrap w:val="0"/>
            <w:vAlign w:val="center"/>
          </w:tcPr>
          <w:p>
            <w:pPr>
              <w:jc w:val="center"/>
              <w:rPr>
                <w:lang w:val="en-US"/>
              </w:rPr>
            </w:pPr>
            <w:r>
              <w:rPr>
                <w:rFonts w:hint="eastAsia"/>
                <w:lang w:val="en-US"/>
              </w:rPr>
              <w:t>人行区无旋涡区</w:t>
            </w:r>
          </w:p>
        </w:tc>
        <w:tc>
          <w:tcPr>
            <w:tcW w:w="1985" w:type="dxa"/>
            <w:vMerge w:val="continue"/>
            <w:shd w:val="clear" w:color="auto" w:fill="auto"/>
            <w:noWrap w:val="0"/>
          </w:tcPr>
          <w:p>
            <w:pPr>
              <w:jc w:val="center"/>
              <w:rPr>
                <w:lang w:val="en-US"/>
              </w:rPr>
            </w:pPr>
          </w:p>
        </w:tc>
        <w:tc>
          <w:tcPr>
            <w:tcW w:w="1416" w:type="dxa"/>
            <w:vMerge w:val="continue"/>
            <w:shd w:val="clear" w:color="auto" w:fill="auto"/>
            <w:noWrap w:val="0"/>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noWrap w:val="0"/>
            <w:vAlign w:val="center"/>
          </w:tcPr>
          <w:p>
            <w:pPr>
              <w:jc w:val="center"/>
              <w:rPr>
                <w:lang w:val="en-US"/>
              </w:rPr>
            </w:pPr>
            <w:r>
              <w:rPr>
                <w:rFonts w:hint="eastAsia"/>
                <w:lang w:val="en-US"/>
              </w:rPr>
              <w:t>外窗室内外表面的风压差</w:t>
            </w:r>
          </w:p>
        </w:tc>
        <w:tc>
          <w:tcPr>
            <w:tcW w:w="1985" w:type="dxa"/>
            <w:shd w:val="clear" w:color="auto" w:fill="auto"/>
            <w:noWrap w:val="0"/>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noWrap w:val="0"/>
            <w:vAlign w:val="center"/>
          </w:tcPr>
          <w:p>
            <w:pPr>
              <w:jc w:val="center"/>
              <w:rPr>
                <w:lang w:val="en-US"/>
              </w:rPr>
            </w:pPr>
            <w:r>
              <w:rPr>
                <w:rFonts w:hint="eastAsia"/>
                <w:b/>
                <w:lang w:val="en-US"/>
              </w:rPr>
              <w:t>可开启外窗室内外表面的风压差</w:t>
            </w:r>
            <w:bookmarkStart w:id="158" w:name="夏季窗内外风压差结果"/>
            <w:r>
              <w:rPr>
                <w:rFonts w:hint="eastAsia"/>
                <w:lang w:val="en-US"/>
              </w:rPr>
              <w:t>满足</w:t>
            </w:r>
            <w:bookmarkEnd w:id="158"/>
            <w:r>
              <w:rPr>
                <w:rFonts w:hint="eastAsia"/>
                <w:lang w:val="en-US"/>
              </w:rPr>
              <w:t>标准要求</w:t>
            </w:r>
          </w:p>
        </w:tc>
        <w:tc>
          <w:tcPr>
            <w:tcW w:w="1985" w:type="dxa"/>
            <w:shd w:val="clear" w:color="auto" w:fill="auto"/>
            <w:noWrap w:val="0"/>
            <w:vAlign w:val="center"/>
          </w:tcPr>
          <w:p>
            <w:pPr>
              <w:jc w:val="center"/>
              <w:rPr>
                <w:b/>
                <w:lang w:val="en-US"/>
              </w:rPr>
            </w:pPr>
            <w:bookmarkStart w:id="159" w:name="夏季窗内外风压差达标判定"/>
            <w:r>
              <w:rPr>
                <w:rFonts w:hint="eastAsia"/>
                <w:b/>
                <w:lang w:val="en-US"/>
              </w:rPr>
              <w:t>达标</w:t>
            </w:r>
            <w:bookmarkEnd w:id="159"/>
          </w:p>
        </w:tc>
        <w:tc>
          <w:tcPr>
            <w:tcW w:w="1416" w:type="dxa"/>
            <w:shd w:val="clear" w:color="auto" w:fill="auto"/>
            <w:noWrap w:val="0"/>
            <w:vAlign w:val="center"/>
          </w:tcPr>
          <w:p>
            <w:pPr>
              <w:jc w:val="center"/>
              <w:rPr>
                <w:lang w:val="en-US"/>
              </w:rPr>
            </w:pPr>
            <w:bookmarkStart w:id="160" w:name="夏季窗内外风压差得分"/>
            <w:r>
              <w:rPr>
                <w:rFonts w:hint="eastAsia"/>
                <w:lang w:val="en-US"/>
              </w:rPr>
              <w:t>2</w:t>
            </w:r>
            <w:bookmarkEnd w:id="160"/>
            <w:r>
              <w:rPr>
                <w:rFonts w:hint="eastAsia"/>
                <w:lang w:val="en-US"/>
              </w:rPr>
              <w:t>分</w:t>
            </w:r>
          </w:p>
        </w:tc>
      </w:tr>
    </w:tbl>
    <w:p>
      <w:pPr>
        <w:rPr>
          <w:sz w:val="21"/>
          <w:szCs w:val="21"/>
          <w:lang w:val="en-US"/>
        </w:rPr>
      </w:pPr>
    </w:p>
    <w:p>
      <w:pPr>
        <w:pStyle w:val="3"/>
        <w:ind w:firstLine="0"/>
        <w:rPr>
          <w:lang w:val="en-US"/>
        </w:rPr>
      </w:pPr>
      <w:r>
        <w:rPr>
          <w:rFonts w:hint="eastAsia"/>
          <w:lang w:val="en-US"/>
        </w:rPr>
        <w:t>综合上述达标判断详表的信息，可知本项目得分为</w:t>
      </w:r>
      <w:bookmarkStart w:id="161" w:name="总得分"/>
      <w:r>
        <w:rPr>
          <w:rFonts w:hint="eastAsia"/>
          <w:lang w:val="en-US"/>
        </w:rPr>
        <w:t>7</w:t>
      </w:r>
      <w:bookmarkEnd w:id="161"/>
      <w:r>
        <w:rPr>
          <w:rFonts w:hint="eastAsia"/>
          <w:lang w:val="en-US"/>
        </w:rPr>
        <w:t>分。</w:t>
      </w:r>
    </w:p>
    <w:sectPr>
      <w:pgSz w:w="11906" w:h="16838"/>
      <w:pgMar w:top="1440" w:right="1133" w:bottom="993" w:left="1701" w:header="794"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20" w:type="dxa"/>
          <w:noWrap w:val="0"/>
        </w:tcPr>
        <w:p>
          <w:pPr>
            <w:pStyle w:val="21"/>
            <w:rPr>
              <w:rFonts w:ascii="Calibri" w:hAnsi="Calibri" w:eastAsia="Calibri"/>
              <w:sz w:val="20"/>
              <w:szCs w:val="21"/>
            </w:rPr>
          </w:pPr>
          <w:r>
            <w:fldChar w:fldCharType="begin"/>
          </w:r>
          <w:r>
            <w:instrText xml:space="preserve"> HYPERLINK "http://www.gbsware.cn/" \o "http://www.gbsware.cn/" </w:instrText>
          </w:r>
          <w:r>
            <w:fldChar w:fldCharType="separate"/>
          </w:r>
          <w:r>
            <w:rPr>
              <w:rStyle w:val="37"/>
              <w:rFonts w:ascii="Calibri" w:hAnsi="Calibri" w:eastAsia="Calibri"/>
              <w:sz w:val="20"/>
              <w:szCs w:val="21"/>
            </w:rPr>
            <w:t>http://www.gbsware.cn/</w:t>
          </w:r>
          <w:r>
            <w:rPr>
              <w:rStyle w:val="37"/>
              <w:rFonts w:ascii="Calibri" w:hAnsi="Calibri" w:eastAsia="Calibri"/>
              <w:sz w:val="20"/>
              <w:szCs w:val="21"/>
            </w:rPr>
            <w:fldChar w:fldCharType="end"/>
          </w:r>
        </w:p>
      </w:tc>
      <w:tc>
        <w:tcPr>
          <w:tcW w:w="3020" w:type="dxa"/>
          <w:noWrap w:val="0"/>
        </w:tcPr>
        <w:p>
          <w:pPr>
            <w:pStyle w:val="21"/>
            <w:jc w:val="center"/>
            <w:rPr>
              <w:rFonts w:ascii="Calibri" w:hAnsi="Calibri" w:eastAsia="Calibri"/>
              <w:sz w:val="20"/>
              <w:szCs w:val="21"/>
            </w:rPr>
          </w:pPr>
          <w:sdt>
            <w:sdtPr>
              <w:rPr>
                <w:sz w:val="20"/>
              </w:rPr>
              <w:id w:val="1728636285"/>
              <w:docPartObj>
                <w:docPartGallery w:val="AutoText"/>
              </w:docPartObj>
            </w:sdtPr>
            <w:sdtEndPr>
              <w:rPr>
                <w:sz w:val="20"/>
              </w:rPr>
            </w:sdtEndPr>
            <w:sdtContent>
              <w:r>
                <w:rPr>
                  <w:rFonts w:hint="eastAsia"/>
                  <w:sz w:val="20"/>
                </w:rPr>
                <w:t>第</w:t>
              </w:r>
              <w:r>
                <w:rPr>
                  <w:rFonts w:ascii="Calibri" w:hAnsi="Calibri" w:eastAsia="Calibri"/>
                  <w:bCs/>
                  <w:sz w:val="20"/>
                  <w:szCs w:val="21"/>
                </w:rPr>
                <w:fldChar w:fldCharType="begin"/>
              </w:r>
              <w:r>
                <w:rPr>
                  <w:rFonts w:ascii="Calibri" w:hAnsi="Calibri" w:eastAsia="Calibri"/>
                  <w:bCs/>
                  <w:sz w:val="20"/>
                  <w:szCs w:val="21"/>
                </w:rPr>
                <w:instrText xml:space="preserve">PAGE</w:instrText>
              </w:r>
              <w:r>
                <w:rPr>
                  <w:rFonts w:ascii="Calibri" w:hAnsi="Calibri" w:eastAsia="Calibri"/>
                  <w:bCs/>
                  <w:sz w:val="20"/>
                  <w:szCs w:val="21"/>
                </w:rPr>
                <w:fldChar w:fldCharType="separate"/>
              </w:r>
              <w:r>
                <w:rPr>
                  <w:rFonts w:ascii="Calibri" w:hAnsi="Calibri" w:eastAsia="Calibri"/>
                  <w:bCs/>
                  <w:sz w:val="20"/>
                  <w:szCs w:val="21"/>
                </w:rPr>
                <w:t>12</w:t>
              </w:r>
              <w:r>
                <w:rPr>
                  <w:rFonts w:ascii="Calibri" w:hAnsi="Calibri" w:eastAsia="Calibri"/>
                  <w:bCs/>
                  <w:sz w:val="20"/>
                  <w:szCs w:val="21"/>
                </w:rPr>
                <w:fldChar w:fldCharType="end"/>
              </w:r>
              <w:r>
                <w:rPr>
                  <w:rFonts w:hint="eastAsia" w:ascii="Calibri" w:hAnsi="Calibri" w:eastAsia="Calibri"/>
                  <w:sz w:val="20"/>
                  <w:szCs w:val="21"/>
                  <w:lang w:val="zh-CN"/>
                </w:rPr>
                <w:t>页 共</w:t>
              </w:r>
              <w:r>
                <w:rPr>
                  <w:rFonts w:ascii="Calibri" w:hAnsi="Calibri" w:eastAsia="Calibri"/>
                  <w:bCs/>
                  <w:sz w:val="20"/>
                  <w:szCs w:val="21"/>
                </w:rPr>
                <w:fldChar w:fldCharType="begin"/>
              </w:r>
              <w:r>
                <w:rPr>
                  <w:rFonts w:ascii="Calibri" w:hAnsi="Calibri" w:eastAsia="Calibri"/>
                  <w:bCs/>
                  <w:sz w:val="20"/>
                  <w:szCs w:val="21"/>
                </w:rPr>
                <w:instrText xml:space="preserve">NUMPAGES</w:instrText>
              </w:r>
              <w:r>
                <w:rPr>
                  <w:rFonts w:ascii="Calibri" w:hAnsi="Calibri" w:eastAsia="Calibri"/>
                  <w:bCs/>
                  <w:sz w:val="20"/>
                  <w:szCs w:val="21"/>
                </w:rPr>
                <w:fldChar w:fldCharType="separate"/>
              </w:r>
              <w:r>
                <w:rPr>
                  <w:rFonts w:ascii="Calibri" w:hAnsi="Calibri" w:eastAsia="Calibri"/>
                  <w:bCs/>
                  <w:sz w:val="20"/>
                  <w:szCs w:val="21"/>
                </w:rPr>
                <w:t>12</w:t>
              </w:r>
              <w:r>
                <w:rPr>
                  <w:rFonts w:ascii="Calibri" w:hAnsi="Calibri" w:eastAsia="Calibri"/>
                  <w:bCs/>
                  <w:sz w:val="20"/>
                  <w:szCs w:val="21"/>
                </w:rPr>
                <w:fldChar w:fldCharType="end"/>
              </w:r>
              <w:r>
                <w:rPr>
                  <w:rFonts w:hint="eastAsia" w:ascii="Calibri" w:hAnsi="Calibri" w:eastAsia="Calibri"/>
                  <w:bCs/>
                  <w:sz w:val="20"/>
                  <w:szCs w:val="21"/>
                </w:rPr>
                <w:t>页</w:t>
              </w:r>
            </w:sdtContent>
          </w:sdt>
        </w:p>
      </w:tc>
      <w:tc>
        <w:tcPr>
          <w:tcW w:w="3020" w:type="dxa"/>
          <w:noWrap w:val="0"/>
        </w:tcPr>
        <w:p>
          <w:pPr>
            <w:pStyle w:val="21"/>
            <w:jc w:val="right"/>
            <w:rPr>
              <w:rFonts w:ascii="Calibri" w:hAnsi="Calibri" w:eastAsia="Calibri"/>
              <w:sz w:val="20"/>
              <w:szCs w:val="21"/>
            </w:rPr>
          </w:pPr>
          <w:r>
            <w:rPr>
              <w:rFonts w:hint="eastAsia" w:ascii="Calibri" w:hAnsi="Calibri" w:eastAsia="Calibri"/>
              <w:sz w:val="20"/>
              <w:szCs w:val="21"/>
            </w:rPr>
            <w:t>V</w:t>
          </w:r>
          <w:r>
            <w:rPr>
              <w:rFonts w:ascii="Calibri" w:hAnsi="Calibri" w:eastAsia="Calibri"/>
              <w:sz w:val="20"/>
              <w:szCs w:val="21"/>
            </w:rPr>
            <w:t>ENT2020</w:t>
          </w:r>
        </w:p>
      </w:tc>
    </w:tr>
  </w:tbl>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Calibri" w:hAnsi="Calibri" w:eastAsia="Calibri"/>
        <w:sz w:val="21"/>
        <w:szCs w:val="21"/>
      </w:rPr>
    </w:pPr>
  </w:p>
  <w:p>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6" w:space="0"/>
      </w:pBdr>
      <w:jc w:val="left"/>
    </w:pPr>
    <w:r>
      <w:rPr>
        <w:lang w:val="en-US"/>
      </w:rPr>
      <w:drawing>
        <wp:inline distT="0" distB="0" distL="0" distR="0">
          <wp:extent cx="866140" cy="251460"/>
          <wp:effectExtent l="0" t="0" r="0" b="0"/>
          <wp:docPr id="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1">
    <w:nsid w:val="BF205925"/>
    <w:multiLevelType w:val="multilevel"/>
    <w:tmpl w:val="BF205925"/>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CF092B84"/>
    <w:multiLevelType w:val="multilevel"/>
    <w:tmpl w:val="CF092B8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053208E"/>
    <w:multiLevelType w:val="multilevel"/>
    <w:tmpl w:val="0053208E"/>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4">
    <w:nsid w:val="03D62ECE"/>
    <w:multiLevelType w:val="multilevel"/>
    <w:tmpl w:val="03D62ECE"/>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2135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rPr>
  </w:style>
  <w:style w:type="paragraph" w:styleId="2">
    <w:name w:val="heading 1"/>
    <w:next w:val="3"/>
    <w:link w:val="185"/>
    <w:qFormat/>
    <w:uiPriority w:val="0"/>
    <w:pPr>
      <w:keepNext/>
      <w:numPr>
        <w:ilvl w:val="0"/>
        <w:numId w:val="1"/>
      </w:numPr>
      <w:spacing w:before="240" w:after="60"/>
      <w:outlineLvl w:val="0"/>
    </w:pPr>
    <w:rPr>
      <w:rFonts w:ascii="Times New Roman" w:hAnsi="Times New Roman" w:eastAsia="宋体" w:cs="Times New Roman"/>
      <w:b/>
      <w:bCs/>
      <w:sz w:val="28"/>
      <w:szCs w:val="28"/>
    </w:rPr>
  </w:style>
  <w:style w:type="paragraph" w:styleId="4">
    <w:name w:val="heading 2"/>
    <w:next w:val="3"/>
    <w:link w:val="186"/>
    <w:qFormat/>
    <w:uiPriority w:val="0"/>
    <w:pPr>
      <w:keepNext/>
      <w:numPr>
        <w:ilvl w:val="1"/>
        <w:numId w:val="1"/>
      </w:numPr>
      <w:spacing w:before="240" w:after="240"/>
      <w:jc w:val="both"/>
      <w:outlineLvl w:val="1"/>
    </w:pPr>
    <w:rPr>
      <w:rFonts w:ascii="宋体" w:hAnsi="Times New Roman" w:eastAsia="宋体" w:cs="Arial"/>
      <w:b/>
      <w:bCs/>
      <w:iCs/>
      <w:color w:val="000000"/>
      <w:sz w:val="24"/>
      <w:szCs w:val="24"/>
    </w:rPr>
  </w:style>
  <w:style w:type="paragraph" w:styleId="5">
    <w:name w:val="heading 3"/>
    <w:next w:val="3"/>
    <w:link w:val="191"/>
    <w:qFormat/>
    <w:uiPriority w:val="0"/>
    <w:pPr>
      <w:keepNext/>
      <w:numPr>
        <w:ilvl w:val="2"/>
        <w:numId w:val="1"/>
      </w:numPr>
      <w:spacing w:before="240" w:after="60"/>
      <w:outlineLvl w:val="2"/>
    </w:pPr>
    <w:rPr>
      <w:rFonts w:ascii="宋体" w:hAnsi="宋体" w:eastAsia="宋体" w:cs="Arial"/>
      <w:b/>
      <w:bCs/>
      <w:sz w:val="21"/>
      <w:szCs w:val="21"/>
    </w:rPr>
  </w:style>
  <w:style w:type="paragraph" w:styleId="6">
    <w:name w:val="heading 4"/>
    <w:basedOn w:val="1"/>
    <w:next w:val="1"/>
    <w:link w:val="195"/>
    <w:qFormat/>
    <w:uiPriority w:val="0"/>
    <w:pPr>
      <w:keepNext/>
      <w:numPr>
        <w:ilvl w:val="3"/>
        <w:numId w:val="1"/>
      </w:numPr>
      <w:spacing w:before="240" w:after="60"/>
      <w:outlineLvl w:val="3"/>
    </w:pPr>
    <w:rPr>
      <w:b/>
      <w:bCs/>
      <w:sz w:val="28"/>
      <w:szCs w:val="28"/>
    </w:rPr>
  </w:style>
  <w:style w:type="paragraph" w:styleId="7">
    <w:name w:val="heading 5"/>
    <w:basedOn w:val="1"/>
    <w:next w:val="1"/>
    <w:link w:val="196"/>
    <w:qFormat/>
    <w:uiPriority w:val="0"/>
    <w:pPr>
      <w:numPr>
        <w:ilvl w:val="4"/>
        <w:numId w:val="1"/>
      </w:numPr>
      <w:spacing w:before="240" w:after="60"/>
      <w:outlineLvl w:val="4"/>
    </w:pPr>
    <w:rPr>
      <w:b/>
      <w:bCs/>
      <w:iCs/>
      <w:sz w:val="26"/>
      <w:szCs w:val="26"/>
    </w:rPr>
  </w:style>
  <w:style w:type="paragraph" w:styleId="8">
    <w:name w:val="heading 6"/>
    <w:basedOn w:val="1"/>
    <w:next w:val="1"/>
    <w:link w:val="197"/>
    <w:qFormat/>
    <w:uiPriority w:val="0"/>
    <w:pPr>
      <w:numPr>
        <w:ilvl w:val="5"/>
        <w:numId w:val="1"/>
      </w:numPr>
      <w:spacing w:before="240" w:after="60"/>
      <w:outlineLvl w:val="5"/>
    </w:pPr>
    <w:rPr>
      <w:b/>
      <w:bCs/>
      <w:sz w:val="22"/>
      <w:szCs w:val="22"/>
    </w:rPr>
  </w:style>
  <w:style w:type="paragraph" w:styleId="9">
    <w:name w:val="heading 7"/>
    <w:basedOn w:val="1"/>
    <w:next w:val="1"/>
    <w:link w:val="198"/>
    <w:qFormat/>
    <w:uiPriority w:val="0"/>
    <w:pPr>
      <w:numPr>
        <w:ilvl w:val="6"/>
        <w:numId w:val="1"/>
      </w:numPr>
      <w:spacing w:before="240" w:after="60"/>
      <w:outlineLvl w:val="6"/>
    </w:pPr>
    <w:rPr>
      <w:sz w:val="24"/>
      <w:szCs w:val="24"/>
    </w:rPr>
  </w:style>
  <w:style w:type="paragraph" w:styleId="10">
    <w:name w:val="heading 8"/>
    <w:basedOn w:val="1"/>
    <w:next w:val="1"/>
    <w:link w:val="199"/>
    <w:qFormat/>
    <w:uiPriority w:val="0"/>
    <w:pPr>
      <w:numPr>
        <w:ilvl w:val="7"/>
        <w:numId w:val="1"/>
      </w:numPr>
      <w:spacing w:before="240" w:after="60"/>
      <w:outlineLvl w:val="7"/>
    </w:pPr>
    <w:rPr>
      <w:i/>
      <w:iCs/>
      <w:sz w:val="24"/>
      <w:szCs w:val="24"/>
    </w:rPr>
  </w:style>
  <w:style w:type="paragraph" w:styleId="11">
    <w:name w:val="heading 9"/>
    <w:basedOn w:val="1"/>
    <w:next w:val="1"/>
    <w:link w:val="200"/>
    <w:qFormat/>
    <w:uiPriority w:val="0"/>
    <w:pPr>
      <w:numPr>
        <w:ilvl w:val="8"/>
        <w:numId w:val="1"/>
      </w:numPr>
      <w:spacing w:before="240" w:after="60"/>
      <w:outlineLvl w:val="8"/>
    </w:pPr>
    <w:rPr>
      <w:rFonts w:ascii="Arial" w:hAnsi="Arial" w:cs="Arial"/>
      <w:sz w:val="22"/>
      <w:szCs w:val="22"/>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3">
    <w:name w:val="Block Text"/>
    <w:uiPriority w:val="0"/>
    <w:pPr>
      <w:spacing w:line="400" w:lineRule="atLeast"/>
      <w:ind w:firstLine="200"/>
      <w:jc w:val="both"/>
    </w:pPr>
    <w:rPr>
      <w:rFonts w:ascii="Times New Roman" w:hAnsi="Times New Roman" w:eastAsia="宋体" w:cs="Times New Roman"/>
      <w:sz w:val="21"/>
      <w:szCs w:val="21"/>
      <w:lang w:val="en-GB"/>
    </w:rPr>
  </w:style>
  <w:style w:type="paragraph" w:styleId="12">
    <w:name w:val="toc 7"/>
    <w:basedOn w:val="1"/>
    <w:next w:val="1"/>
    <w:unhideWhenUsed/>
    <w:uiPriority w:val="39"/>
    <w:pPr>
      <w:spacing w:after="57"/>
      <w:ind w:left="1701" w:right="0" w:firstLine="0"/>
    </w:pPr>
  </w:style>
  <w:style w:type="paragraph" w:styleId="13">
    <w:name w:val="Normal Indent"/>
    <w:basedOn w:val="1"/>
    <w:link w:val="189"/>
    <w:uiPriority w:val="0"/>
    <w:pPr>
      <w:spacing w:before="50" w:line="315" w:lineRule="atLeast"/>
      <w:ind w:left="420" w:firstLine="420"/>
      <w:jc w:val="both"/>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202"/>
    <w:semiHidden/>
    <w:uiPriority w:val="0"/>
    <w:pPr>
      <w:shd w:val="clear" w:color="000080" w:fill="000080"/>
    </w:pPr>
  </w:style>
  <w:style w:type="paragraph" w:styleId="16">
    <w:name w:val="toc 5"/>
    <w:basedOn w:val="1"/>
    <w:next w:val="1"/>
    <w:unhideWhenUsed/>
    <w:uiPriority w:val="39"/>
    <w:pPr>
      <w:spacing w:after="57"/>
      <w:ind w:left="1134" w:right="0" w:firstLine="0"/>
    </w:pPr>
  </w:style>
  <w:style w:type="paragraph" w:styleId="17">
    <w:name w:val="toc 3"/>
    <w:basedOn w:val="1"/>
    <w:next w:val="1"/>
    <w:uiPriority w:val="39"/>
    <w:pPr>
      <w:tabs>
        <w:tab w:val="left" w:pos="900"/>
        <w:tab w:val="left" w:pos="1260"/>
        <w:tab w:val="right" w:leader="dot" w:pos="9360"/>
      </w:tabs>
      <w:ind w:left="210" w:firstLine="210"/>
    </w:pPr>
    <w:rPr>
      <w:sz w:val="24"/>
      <w:szCs w:val="24"/>
      <w:lang w:val="en-US"/>
    </w:rPr>
  </w:style>
  <w:style w:type="paragraph" w:styleId="18">
    <w:name w:val="toc 8"/>
    <w:basedOn w:val="1"/>
    <w:next w:val="1"/>
    <w:unhideWhenUsed/>
    <w:uiPriority w:val="39"/>
    <w:pPr>
      <w:spacing w:after="57"/>
      <w:ind w:left="1984" w:right="0" w:firstLine="0"/>
    </w:pPr>
  </w:style>
  <w:style w:type="paragraph" w:styleId="19">
    <w:name w:val="endnote text"/>
    <w:basedOn w:val="1"/>
    <w:link w:val="183"/>
    <w:semiHidden/>
    <w:unhideWhenUsed/>
    <w:uiPriority w:val="99"/>
    <w:pPr>
      <w:spacing w:after="0" w:line="240" w:lineRule="auto"/>
    </w:pPr>
    <w:rPr>
      <w:sz w:val="20"/>
    </w:rPr>
  </w:style>
  <w:style w:type="paragraph" w:styleId="20">
    <w:name w:val="Balloon Text"/>
    <w:basedOn w:val="1"/>
    <w:link w:val="192"/>
    <w:uiPriority w:val="0"/>
    <w:pPr>
      <w:spacing w:line="240" w:lineRule="auto"/>
    </w:pPr>
    <w:rPr>
      <w:sz w:val="18"/>
      <w:szCs w:val="18"/>
    </w:rPr>
  </w:style>
  <w:style w:type="paragraph" w:styleId="21">
    <w:name w:val="footer"/>
    <w:basedOn w:val="1"/>
    <w:link w:val="187"/>
    <w:uiPriority w:val="99"/>
    <w:pPr>
      <w:tabs>
        <w:tab w:val="center" w:pos="4153"/>
        <w:tab w:val="right" w:pos="8306"/>
      </w:tabs>
    </w:pPr>
    <w:rPr>
      <w:sz w:val="18"/>
      <w:szCs w:val="18"/>
    </w:rPr>
  </w:style>
  <w:style w:type="paragraph" w:styleId="22">
    <w:name w:val="header"/>
    <w:basedOn w:val="1"/>
    <w:link w:val="201"/>
    <w:uiPriority w:val="0"/>
    <w:pPr>
      <w:pBdr>
        <w:bottom w:val="single" w:color="auto" w:sz="6" w:space="1"/>
      </w:pBdr>
      <w:tabs>
        <w:tab w:val="center" w:pos="4153"/>
        <w:tab w:val="right" w:pos="8306"/>
      </w:tabs>
      <w:jc w:val="center"/>
    </w:pPr>
    <w:rPr>
      <w:sz w:val="18"/>
      <w:szCs w:val="18"/>
    </w:rPr>
  </w:style>
  <w:style w:type="paragraph" w:styleId="23">
    <w:name w:val="toc 1"/>
    <w:basedOn w:val="1"/>
    <w:next w:val="1"/>
    <w:uiPriority w:val="39"/>
    <w:pPr>
      <w:tabs>
        <w:tab w:val="left" w:leader="dot" w:pos="180"/>
        <w:tab w:val="left" w:pos="420"/>
        <w:tab w:val="right" w:leader="dot" w:pos="9360"/>
      </w:tabs>
    </w:pPr>
    <w:rPr>
      <w:b/>
      <w:bCs/>
      <w:sz w:val="24"/>
      <w:szCs w:val="24"/>
      <w:lang w:val="en-US"/>
    </w:rPr>
  </w:style>
  <w:style w:type="paragraph" w:styleId="24">
    <w:name w:val="toc 4"/>
    <w:basedOn w:val="1"/>
    <w:next w:val="1"/>
    <w:unhideWhenUsed/>
    <w:uiPriority w:val="39"/>
    <w:pPr>
      <w:spacing w:after="57"/>
      <w:ind w:left="850" w:right="0" w:firstLine="0"/>
    </w:pPr>
  </w:style>
  <w:style w:type="paragraph" w:styleId="25">
    <w:name w:val="Subtitle"/>
    <w:basedOn w:val="1"/>
    <w:next w:val="1"/>
    <w:link w:val="49"/>
    <w:qFormat/>
    <w:uiPriority w:val="11"/>
    <w:pPr>
      <w:spacing w:before="200" w:after="200"/>
    </w:pPr>
    <w:rPr>
      <w:sz w:val="24"/>
      <w:szCs w:val="24"/>
    </w:rPr>
  </w:style>
  <w:style w:type="paragraph" w:styleId="26">
    <w:name w:val="footnote text"/>
    <w:basedOn w:val="1"/>
    <w:link w:val="182"/>
    <w:semiHidden/>
    <w:unhideWhenUsed/>
    <w:uiPriority w:val="99"/>
    <w:pPr>
      <w:spacing w:after="40" w:line="240" w:lineRule="auto"/>
    </w:pPr>
    <w:rPr>
      <w:sz w:val="18"/>
    </w:rPr>
  </w:style>
  <w:style w:type="paragraph" w:styleId="27">
    <w:name w:val="toc 6"/>
    <w:basedOn w:val="1"/>
    <w:next w:val="1"/>
    <w:unhideWhenUsed/>
    <w:uiPriority w:val="39"/>
    <w:pPr>
      <w:spacing w:after="57"/>
      <w:ind w:left="1417" w:right="0" w:firstLine="0"/>
    </w:pPr>
  </w:style>
  <w:style w:type="paragraph" w:styleId="28">
    <w:name w:val="toc 2"/>
    <w:basedOn w:val="1"/>
    <w:next w:val="1"/>
    <w:uiPriority w:val="39"/>
    <w:pPr>
      <w:tabs>
        <w:tab w:val="left" w:pos="540"/>
        <w:tab w:val="left" w:pos="840"/>
        <w:tab w:val="right" w:leader="dot" w:pos="9360"/>
      </w:tabs>
      <w:ind w:left="200"/>
    </w:pPr>
    <w:rPr>
      <w:sz w:val="24"/>
      <w:szCs w:val="24"/>
      <w:lang w:val="en-US"/>
    </w:rPr>
  </w:style>
  <w:style w:type="paragraph" w:styleId="29">
    <w:name w:val="toc 9"/>
    <w:basedOn w:val="1"/>
    <w:next w:val="1"/>
    <w:unhideWhenUsed/>
    <w:uiPriority w:val="39"/>
    <w:pPr>
      <w:spacing w:after="57"/>
      <w:ind w:left="2268" w:right="0" w:firstLine="0"/>
    </w:pPr>
  </w:style>
  <w:style w:type="paragraph" w:styleId="30">
    <w:name w:val="Title"/>
    <w:basedOn w:val="1"/>
    <w:next w:val="1"/>
    <w:link w:val="48"/>
    <w:qFormat/>
    <w:uiPriority w:val="10"/>
    <w:pPr>
      <w:spacing w:before="300" w:after="200"/>
      <w:contextualSpacing/>
    </w:pPr>
    <w:rPr>
      <w:sz w:val="48"/>
      <w:szCs w:val="48"/>
    </w:rPr>
  </w:style>
  <w:style w:type="table" w:styleId="32">
    <w:name w:val="Table Grid"/>
    <w:basedOn w:val="31"/>
    <w:uiPriority w:val="0"/>
    <w:pPr>
      <w:spacing w:line="360" w:lineRule="exact"/>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endnote reference"/>
    <w:basedOn w:val="33"/>
    <w:semiHidden/>
    <w:unhideWhenUsed/>
    <w:uiPriority w:val="99"/>
    <w:rPr>
      <w:vertAlign w:val="superscript"/>
    </w:rPr>
  </w:style>
  <w:style w:type="character" w:styleId="35">
    <w:name w:val="FollowedHyperlink"/>
    <w:unhideWhenUsed/>
    <w:uiPriority w:val="99"/>
    <w:rPr>
      <w:color w:val="800080"/>
      <w:u w:val="single"/>
    </w:rPr>
  </w:style>
  <w:style w:type="character" w:styleId="36">
    <w:name w:val="Emphasis"/>
    <w:qFormat/>
    <w:uiPriority w:val="20"/>
    <w:rPr>
      <w:color w:val="CC0000"/>
    </w:rPr>
  </w:style>
  <w:style w:type="character" w:styleId="37">
    <w:name w:val="Hyperlink"/>
    <w:uiPriority w:val="99"/>
    <w:rPr>
      <w:color w:val="0000FF"/>
      <w:u w:val="single"/>
    </w:rPr>
  </w:style>
  <w:style w:type="character" w:styleId="38">
    <w:name w:val="footnote reference"/>
    <w:basedOn w:val="33"/>
    <w:unhideWhenUsed/>
    <w:uiPriority w:val="99"/>
    <w:rPr>
      <w:vertAlign w:val="superscript"/>
    </w:rPr>
  </w:style>
  <w:style w:type="character" w:customStyle="1" w:styleId="39">
    <w:name w:val="Heading 1 Char"/>
    <w:basedOn w:val="33"/>
    <w:uiPriority w:val="9"/>
    <w:rPr>
      <w:rFonts w:ascii="Arial" w:hAnsi="Arial" w:eastAsia="Arial" w:cs="Arial"/>
      <w:sz w:val="40"/>
      <w:szCs w:val="40"/>
    </w:rPr>
  </w:style>
  <w:style w:type="character" w:customStyle="1" w:styleId="40">
    <w:name w:val="Heading 2 Char"/>
    <w:basedOn w:val="33"/>
    <w:uiPriority w:val="9"/>
    <w:rPr>
      <w:rFonts w:ascii="Arial" w:hAnsi="Arial" w:eastAsia="Arial" w:cs="Arial"/>
      <w:sz w:val="34"/>
    </w:rPr>
  </w:style>
  <w:style w:type="character" w:customStyle="1" w:styleId="41">
    <w:name w:val="Heading 3 Char"/>
    <w:basedOn w:val="33"/>
    <w:uiPriority w:val="9"/>
    <w:rPr>
      <w:rFonts w:ascii="Arial" w:hAnsi="Arial" w:eastAsia="Arial" w:cs="Arial"/>
      <w:sz w:val="30"/>
      <w:szCs w:val="30"/>
    </w:rPr>
  </w:style>
  <w:style w:type="character" w:customStyle="1" w:styleId="42">
    <w:name w:val="Heading 4 Char"/>
    <w:basedOn w:val="33"/>
    <w:uiPriority w:val="9"/>
    <w:rPr>
      <w:rFonts w:ascii="Arial" w:hAnsi="Arial" w:eastAsia="Arial" w:cs="Arial"/>
      <w:b/>
      <w:bCs/>
      <w:sz w:val="26"/>
      <w:szCs w:val="26"/>
    </w:rPr>
  </w:style>
  <w:style w:type="character" w:customStyle="1" w:styleId="43">
    <w:name w:val="Heading 5 Char"/>
    <w:basedOn w:val="33"/>
    <w:uiPriority w:val="9"/>
    <w:rPr>
      <w:rFonts w:ascii="Arial" w:hAnsi="Arial" w:eastAsia="Arial" w:cs="Arial"/>
      <w:b/>
      <w:bCs/>
      <w:sz w:val="24"/>
      <w:szCs w:val="24"/>
    </w:rPr>
  </w:style>
  <w:style w:type="character" w:customStyle="1" w:styleId="44">
    <w:name w:val="Heading 6 Char"/>
    <w:basedOn w:val="33"/>
    <w:uiPriority w:val="9"/>
    <w:rPr>
      <w:rFonts w:ascii="Arial" w:hAnsi="Arial" w:eastAsia="Arial" w:cs="Arial"/>
      <w:b/>
      <w:bCs/>
      <w:sz w:val="22"/>
      <w:szCs w:val="22"/>
    </w:rPr>
  </w:style>
  <w:style w:type="character" w:customStyle="1" w:styleId="45">
    <w:name w:val="Heading 7 Char"/>
    <w:basedOn w:val="33"/>
    <w:uiPriority w:val="9"/>
    <w:rPr>
      <w:rFonts w:ascii="Arial" w:hAnsi="Arial" w:eastAsia="Arial" w:cs="Arial"/>
      <w:b/>
      <w:bCs/>
      <w:i/>
      <w:iCs/>
      <w:sz w:val="22"/>
      <w:szCs w:val="22"/>
    </w:rPr>
  </w:style>
  <w:style w:type="character" w:customStyle="1" w:styleId="46">
    <w:name w:val="Heading 8 Char"/>
    <w:basedOn w:val="33"/>
    <w:uiPriority w:val="9"/>
    <w:rPr>
      <w:rFonts w:ascii="Arial" w:hAnsi="Arial" w:eastAsia="Arial" w:cs="Arial"/>
      <w:i/>
      <w:iCs/>
      <w:sz w:val="22"/>
      <w:szCs w:val="22"/>
    </w:rPr>
  </w:style>
  <w:style w:type="character" w:customStyle="1" w:styleId="47">
    <w:name w:val="Heading 9 Char"/>
    <w:basedOn w:val="33"/>
    <w:qFormat/>
    <w:uiPriority w:val="9"/>
    <w:rPr>
      <w:rFonts w:ascii="Arial" w:hAnsi="Arial" w:eastAsia="Arial" w:cs="Arial"/>
      <w:i/>
      <w:iCs/>
      <w:sz w:val="21"/>
      <w:szCs w:val="21"/>
    </w:rPr>
  </w:style>
  <w:style w:type="character" w:customStyle="1" w:styleId="48">
    <w:name w:val="Title Char"/>
    <w:basedOn w:val="33"/>
    <w:link w:val="30"/>
    <w:qFormat/>
    <w:uiPriority w:val="10"/>
    <w:rPr>
      <w:sz w:val="48"/>
      <w:szCs w:val="48"/>
    </w:rPr>
  </w:style>
  <w:style w:type="character" w:customStyle="1" w:styleId="49">
    <w:name w:val="Subtitle Char"/>
    <w:basedOn w:val="33"/>
    <w:link w:val="25"/>
    <w:qFormat/>
    <w:uiPriority w:val="11"/>
    <w:rPr>
      <w:sz w:val="24"/>
      <w:szCs w:val="24"/>
    </w:rPr>
  </w:style>
  <w:style w:type="paragraph" w:styleId="50">
    <w:name w:val="Quote"/>
    <w:basedOn w:val="1"/>
    <w:next w:val="1"/>
    <w:link w:val="51"/>
    <w:qFormat/>
    <w:uiPriority w:val="29"/>
    <w:pPr>
      <w:ind w:left="720" w:right="720"/>
    </w:pPr>
    <w:rPr>
      <w:i/>
    </w:rPr>
  </w:style>
  <w:style w:type="character" w:customStyle="1" w:styleId="51">
    <w:name w:val="Quote Char"/>
    <w:link w:val="50"/>
    <w:qFormat/>
    <w:uiPriority w:val="29"/>
    <w:rPr>
      <w:i/>
    </w:rPr>
  </w:style>
  <w:style w:type="paragraph" w:styleId="52">
    <w:name w:val="Intense Quote"/>
    <w:basedOn w:val="1"/>
    <w:next w:val="1"/>
    <w:link w:val="53"/>
    <w:qFormat/>
    <w:uiPriority w:val="30"/>
    <w:pPr>
      <w:pBdr>
        <w:top w:val="single" w:color="FFFFFF" w:sz="4" w:space="5"/>
        <w:left w:val="single" w:color="FFFFFF" w:sz="4" w:space="10"/>
        <w:bottom w:val="single" w:color="FFFFFF" w:sz="4" w:space="5"/>
        <w:right w:val="single" w:color="FFFFFF" w:sz="4" w:space="10"/>
      </w:pBdr>
      <w:shd w:val="clear" w:color="F2F2F2" w:fill="F2F2F2"/>
      <w:ind w:left="720" w:right="720"/>
      <w:contextualSpacing w:val="0"/>
    </w:pPr>
    <w:rPr>
      <w:i/>
    </w:rPr>
  </w:style>
  <w:style w:type="character" w:customStyle="1" w:styleId="53">
    <w:name w:val="Intense Quote Char"/>
    <w:link w:val="52"/>
    <w:uiPriority w:val="30"/>
    <w:rPr>
      <w:i/>
    </w:rPr>
  </w:style>
  <w:style w:type="character" w:customStyle="1" w:styleId="54">
    <w:name w:val="Header Char"/>
    <w:basedOn w:val="33"/>
    <w:uiPriority w:val="99"/>
  </w:style>
  <w:style w:type="character" w:customStyle="1" w:styleId="55">
    <w:name w:val="Footer Char"/>
    <w:basedOn w:val="33"/>
    <w:uiPriority w:val="99"/>
  </w:style>
  <w:style w:type="character" w:customStyle="1" w:styleId="56">
    <w:name w:val="Caption Char"/>
    <w:qFormat/>
    <w:uiPriority w:val="99"/>
  </w:style>
  <w:style w:type="table" w:customStyle="1" w:styleId="57">
    <w:name w:val="Table Grid Light"/>
    <w:basedOn w:val="31"/>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8">
    <w:name w:val="Plain Table 1"/>
    <w:basedOn w:val="3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FFFFF" w:fill="F1F1F1" w:themeFill="text1" w:themeFillTint="0D"/>
      </w:tcPr>
    </w:tblStylePr>
    <w:tblStylePr w:type="band1Horz">
      <w:tcPr>
        <w:shd w:val="clear" w:color="FFFFFF" w:fill="F1F1F1" w:themeFill="text1" w:themeFillTint="0D"/>
      </w:tcPr>
    </w:tblStylePr>
  </w:style>
  <w:style w:type="table" w:customStyle="1" w:styleId="59">
    <w:name w:val="Plain Table 2"/>
    <w:basedOn w:val="31"/>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0">
    <w:name w:val="Plain Table 3"/>
    <w:basedOn w:val="31"/>
    <w:qFormat/>
    <w:uiPriority w:val="99"/>
    <w:pPr>
      <w:spacing w:after="0" w:line="240" w:lineRule="auto"/>
    </w:pP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FFFFF" w:fill="F1F1F1" w:themeFill="text1" w:themeFillTint="0D"/>
      </w:tcPr>
    </w:tblStylePr>
    <w:tblStylePr w:type="band1Horz">
      <w:rPr>
        <w:rFonts w:ascii="Arial" w:hAnsi="Arial"/>
        <w:color w:val="404040"/>
        <w:sz w:val="22"/>
      </w:rPr>
      <w:tcPr>
        <w:shd w:val="clear" w:color="FFFFFF" w:fill="F1F1F1" w:themeFill="text1" w:themeFillTint="0D"/>
      </w:tcPr>
    </w:tblStylePr>
  </w:style>
  <w:style w:type="table" w:customStyle="1" w:styleId="61">
    <w:name w:val="Plain Table 4"/>
    <w:basedOn w:val="31"/>
    <w:uiPriority w:val="99"/>
    <w:pPr>
      <w:spacing w:after="0" w:line="240" w:lineRule="auto"/>
    </w:p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1F1F1" w:themeFill="text1" w:themeFillTint="0D"/>
      </w:tcPr>
    </w:tblStylePr>
    <w:tblStylePr w:type="band1Horz">
      <w:rPr>
        <w:rFonts w:ascii="Arial" w:hAnsi="Arial"/>
        <w:color w:val="404040"/>
        <w:sz w:val="22"/>
      </w:rPr>
      <w:tcPr>
        <w:shd w:val="clear" w:color="FFFFFF" w:fill="F1F1F1" w:themeFill="text1" w:themeFillTint="0D"/>
      </w:tcPr>
    </w:tblStylePr>
  </w:style>
  <w:style w:type="table" w:customStyle="1" w:styleId="62">
    <w:name w:val="Plain Table 5"/>
    <w:basedOn w:val="31"/>
    <w:qFormat/>
    <w:uiPriority w:val="99"/>
    <w:pPr>
      <w:spacing w:after="0" w:line="240" w:lineRule="auto"/>
    </w:pPr>
    <w:tblPr/>
    <w:tblStylePr w:type="firstRow">
      <w:rPr>
        <w:i/>
        <w:color w:val="404040"/>
      </w:rPr>
      <w:tcPr>
        <w:tcBorders>
          <w:left w:val="nil"/>
          <w:bottom w:val="single" w:color="404040" w:sz="4" w:space="0"/>
          <w:right w:val="nil"/>
        </w:tcBorders>
        <w:shd w:val="clear" w:color="FFFFFF" w:fill="FFFFFF"/>
      </w:tcPr>
    </w:tblStylePr>
    <w:tblStylePr w:type="lastRow">
      <w:rPr>
        <w:i/>
        <w:color w:val="404040"/>
      </w:rPr>
      <w:tcPr>
        <w:tcBorders>
          <w:top w:val="single" w:color="404040" w:sz="4" w:space="0"/>
          <w:left w:val="nil"/>
          <w:right w:val="nil"/>
        </w:tcBorders>
        <w:shd w:val="clear" w:color="FFFFFF" w:fill="FFFFFF"/>
      </w:tcPr>
    </w:tblStylePr>
    <w:tblStylePr w:type="firstCol">
      <w:pPr>
        <w:jc w:val="right"/>
      </w:pPr>
      <w:rPr>
        <w:i/>
        <w:color w:val="404040"/>
      </w:rPr>
      <w:tcPr>
        <w:tcBorders>
          <w:right w:val="single" w:color="404040" w:sz="4" w:space="0"/>
        </w:tcBorders>
        <w:shd w:val="clear" w:color="FFFFFF" w:fill="FFFFFF"/>
      </w:tcPr>
    </w:tblStylePr>
    <w:tblStylePr w:type="lastCol">
      <w:rPr>
        <w:i/>
        <w:color w:val="404040"/>
      </w:rPr>
      <w:tcPr>
        <w:tcBorders>
          <w:left w:val="single" w:color="404040" w:sz="4" w:space="0"/>
        </w:tcBorders>
        <w:shd w:val="clear" w:color="FFFFFF" w:fill="FFFFFF"/>
      </w:tcPr>
    </w:tblStylePr>
    <w:tblStylePr w:type="band1Vert">
      <w:rPr>
        <w:rFonts w:ascii="Arial" w:hAnsi="Arial"/>
        <w:color w:val="404040"/>
        <w:sz w:val="22"/>
      </w:rPr>
      <w:tcPr>
        <w:shd w:val="clear" w:color="FFFFFF" w:fill="F1F1F1" w:themeFill="text1" w:themeFillTint="0D"/>
      </w:tcPr>
    </w:tblStylePr>
    <w:tblStylePr w:type="band1Horz">
      <w:rPr>
        <w:rFonts w:ascii="Arial" w:hAnsi="Arial"/>
        <w:color w:val="404040"/>
        <w:sz w:val="22"/>
      </w:rPr>
      <w:tcPr>
        <w:shd w:val="clear" w:color="FFFFFF" w:fill="F1F1F1" w:themeFill="text1" w:themeFillTint="0D"/>
      </w:tcPr>
    </w:tblStylePr>
  </w:style>
  <w:style w:type="table" w:customStyle="1" w:styleId="63">
    <w:name w:val="Grid Table 1 Light"/>
    <w:basedOn w:val="31"/>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4">
    <w:name w:val="Grid Table 1 Light - Accent 1"/>
    <w:basedOn w:val="31"/>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65">
    <w:name w:val="Grid Table 1 Light - Accent 2"/>
    <w:basedOn w:val="31"/>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66">
    <w:name w:val="Grid Table 1 Light - Accent 3"/>
    <w:basedOn w:val="31"/>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67">
    <w:name w:val="Grid Table 1 Light - Accent 4"/>
    <w:basedOn w:val="31"/>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68">
    <w:name w:val="Grid Table 1 Light - Accent 5"/>
    <w:basedOn w:val="31"/>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69">
    <w:name w:val="Grid Table 1 Light - Accent 6"/>
    <w:basedOn w:val="31"/>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70">
    <w:name w:val="Grid Table 2"/>
    <w:basedOn w:val="31"/>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FFFFFF"/>
      </w:tcPr>
    </w:tblStylePr>
    <w:tblStylePr w:type="lastRow">
      <w:rPr>
        <w:b/>
        <w:color w:val="404040"/>
      </w:rPr>
      <w:tcPr>
        <w:tcBorders>
          <w:top w:val="single" w:color="696969" w:themeColor="text1" w:themeTint="95"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CACACA" w:themeFill="text1" w:themeFillTint="34"/>
      </w:tcPr>
    </w:tblStylePr>
    <w:tblStylePr w:type="band1Horz">
      <w:rPr>
        <w:rFonts w:ascii="Arial" w:hAnsi="Arial"/>
        <w:color w:val="404040"/>
        <w:sz w:val="22"/>
      </w:rPr>
      <w:tcPr>
        <w:shd w:val="clear" w:color="FFFFFF" w:fill="CACACA" w:themeFill="text1" w:themeFillTint="34"/>
      </w:tcPr>
    </w:tblStylePr>
  </w:style>
  <w:style w:type="table" w:customStyle="1" w:styleId="71">
    <w:name w:val="Grid Table 2 - Accent 1"/>
    <w:basedOn w:val="31"/>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FFFFFF"/>
      </w:tcPr>
    </w:tblStylePr>
    <w:tblStylePr w:type="lastRow">
      <w:rPr>
        <w:b/>
        <w:color w:val="404040"/>
      </w:rPr>
      <w:tcPr>
        <w:tcBorders>
          <w:top w:val="single" w:color="68A3D8" w:themeColor="accent1" w:themeTint="EA"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DEAF6" w:themeFill="accent1" w:themeFillTint="34"/>
      </w:tcPr>
    </w:tblStylePr>
    <w:tblStylePr w:type="band1Horz">
      <w:rPr>
        <w:rFonts w:ascii="Arial" w:hAnsi="Arial"/>
        <w:color w:val="404040"/>
        <w:sz w:val="22"/>
      </w:rPr>
      <w:tcPr>
        <w:shd w:val="clear" w:color="FFFFFF" w:fill="DDEAF6" w:themeFill="accent1" w:themeFillTint="34"/>
      </w:tcPr>
    </w:tblStylePr>
  </w:style>
  <w:style w:type="table" w:customStyle="1" w:styleId="72">
    <w:name w:val="Grid Table 2 - Accent 2"/>
    <w:basedOn w:val="31"/>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FFFFFF"/>
      </w:tcPr>
    </w:tblStylePr>
    <w:tblStylePr w:type="lastRow">
      <w:rPr>
        <w:b/>
        <w:color w:val="404040"/>
      </w:rPr>
      <w:tcPr>
        <w:tcBorders>
          <w:top w:val="single" w:color="F4B285" w:themeColor="accent2" w:themeTint="97"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BE5D6" w:themeFill="accent2" w:themeFillTint="32"/>
      </w:tcPr>
    </w:tblStylePr>
    <w:tblStylePr w:type="band1Horz">
      <w:rPr>
        <w:rFonts w:ascii="Arial" w:hAnsi="Arial"/>
        <w:color w:val="404040"/>
        <w:sz w:val="22"/>
      </w:rPr>
      <w:tcPr>
        <w:shd w:val="clear" w:color="FFFFFF" w:fill="FBE5D6" w:themeFill="accent2" w:themeFillTint="32"/>
      </w:tcPr>
    </w:tblStylePr>
  </w:style>
  <w:style w:type="table" w:customStyle="1" w:styleId="73">
    <w:name w:val="Grid Table 2 - Accent 3"/>
    <w:basedOn w:val="31"/>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FFFFFF"/>
      </w:tcPr>
    </w:tblStylePr>
    <w:tblStylePr w:type="lastRow">
      <w:rPr>
        <w:b/>
        <w:color w:val="404040"/>
      </w:rPr>
      <w:tcPr>
        <w:tcBorders>
          <w:top w:val="single" w:color="A5A5A5" w:themeColor="accent3" w:themeTint="FE"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CECEC" w:themeFill="accent3" w:themeFillTint="34"/>
      </w:tcPr>
    </w:tblStylePr>
    <w:tblStylePr w:type="band1Horz">
      <w:rPr>
        <w:rFonts w:ascii="Arial" w:hAnsi="Arial"/>
        <w:color w:val="404040"/>
        <w:sz w:val="22"/>
      </w:rPr>
      <w:tcPr>
        <w:shd w:val="clear" w:color="FFFFFF" w:fill="ECECEC" w:themeFill="accent3" w:themeFillTint="34"/>
      </w:tcPr>
    </w:tblStylePr>
  </w:style>
  <w:style w:type="table" w:customStyle="1" w:styleId="74">
    <w:name w:val="Grid Table 2 - Accent 4"/>
    <w:basedOn w:val="31"/>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FFFFFF"/>
      </w:tcPr>
    </w:tblStylePr>
    <w:tblStylePr w:type="lastRow">
      <w:rPr>
        <w:b/>
        <w:color w:val="404040"/>
      </w:rPr>
      <w:tcPr>
        <w:tcBorders>
          <w:top w:val="single" w:color="FFD864" w:themeColor="accent4" w:themeTint="9A"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EF2CA" w:themeFill="accent4" w:themeFillTint="34"/>
      </w:tcPr>
    </w:tblStylePr>
    <w:tblStylePr w:type="band1Horz">
      <w:rPr>
        <w:rFonts w:ascii="Arial" w:hAnsi="Arial"/>
        <w:color w:val="404040"/>
        <w:sz w:val="22"/>
      </w:rPr>
      <w:tcPr>
        <w:shd w:val="clear" w:color="FFFFFF" w:fill="FEF2CA" w:themeFill="accent4" w:themeFillTint="34"/>
      </w:tcPr>
    </w:tblStylePr>
  </w:style>
  <w:style w:type="table" w:customStyle="1" w:styleId="75">
    <w:name w:val="Grid Table 2 - Accent 5"/>
    <w:basedOn w:val="31"/>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FFFFFF"/>
      </w:tcPr>
    </w:tblStylePr>
    <w:tblStylePr w:type="lastRow">
      <w:rPr>
        <w:b/>
        <w:color w:val="404040"/>
      </w:rPr>
      <w:tcPr>
        <w:tcBorders>
          <w:top w:val="single" w:color="4472C4" w:themeColor="accent5"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8E2F2" w:themeFill="accent5" w:themeFillTint="34"/>
      </w:tcPr>
    </w:tblStylePr>
    <w:tblStylePr w:type="band1Horz">
      <w:rPr>
        <w:rFonts w:ascii="Arial" w:hAnsi="Arial"/>
        <w:color w:val="404040"/>
        <w:sz w:val="22"/>
      </w:rPr>
      <w:tcPr>
        <w:shd w:val="clear" w:color="FFFFFF" w:fill="D8E2F2" w:themeFill="accent5" w:themeFillTint="34"/>
      </w:tcPr>
    </w:tblStylePr>
  </w:style>
  <w:style w:type="table" w:customStyle="1" w:styleId="76">
    <w:name w:val="Grid Table 2 - Accent 6"/>
    <w:basedOn w:val="31"/>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FFFFFF"/>
      </w:tcPr>
    </w:tblStylePr>
    <w:tblStylePr w:type="lastRow">
      <w:rPr>
        <w:b/>
        <w:color w:val="404040"/>
      </w:rPr>
      <w:tcPr>
        <w:tcBorders>
          <w:top w:val="single" w:color="70AD47" w:themeColor="accent6"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1EFD8" w:themeFill="accent6" w:themeFillTint="34"/>
      </w:tcPr>
    </w:tblStylePr>
    <w:tblStylePr w:type="band1Horz">
      <w:rPr>
        <w:rFonts w:ascii="Arial" w:hAnsi="Arial"/>
        <w:color w:val="404040"/>
        <w:sz w:val="22"/>
      </w:rPr>
      <w:tcPr>
        <w:shd w:val="clear" w:color="FFFFFF" w:fill="E1EFD8" w:themeFill="accent6" w:themeFillTint="34"/>
      </w:tcPr>
    </w:tblStylePr>
  </w:style>
  <w:style w:type="table" w:customStyle="1" w:styleId="77">
    <w:name w:val="Grid Table 3"/>
    <w:basedOn w:val="31"/>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CACACA" w:themeFill="text1" w:themeFillTint="34"/>
      </w:tcPr>
    </w:tblStylePr>
    <w:tblStylePr w:type="band1Horz">
      <w:rPr>
        <w:rFonts w:ascii="Arial" w:hAnsi="Arial"/>
        <w:color w:val="404040"/>
        <w:sz w:val="22"/>
      </w:rPr>
      <w:tcPr>
        <w:shd w:val="clear" w:color="FFFFFF" w:fill="CACACA" w:themeFill="text1" w:themeFillTint="34"/>
      </w:tcPr>
    </w:tblStylePr>
  </w:style>
  <w:style w:type="table" w:customStyle="1" w:styleId="78">
    <w:name w:val="Grid Table 3 - Accent 1"/>
    <w:basedOn w:val="31"/>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DDEAF6" w:themeFill="accent1" w:themeFillTint="34"/>
      </w:tcPr>
    </w:tblStylePr>
    <w:tblStylePr w:type="band1Horz">
      <w:rPr>
        <w:rFonts w:ascii="Arial" w:hAnsi="Arial"/>
        <w:color w:val="404040"/>
        <w:sz w:val="22"/>
      </w:rPr>
      <w:tcPr>
        <w:shd w:val="clear" w:color="FFFFFF" w:fill="DDEAF6" w:themeFill="accent1" w:themeFillTint="34"/>
      </w:tcPr>
    </w:tblStylePr>
  </w:style>
  <w:style w:type="table" w:customStyle="1" w:styleId="79">
    <w:name w:val="Grid Table 3 - Accent 2"/>
    <w:basedOn w:val="31"/>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FBE5D6" w:themeFill="accent2" w:themeFillTint="32"/>
      </w:tcPr>
    </w:tblStylePr>
    <w:tblStylePr w:type="band1Horz">
      <w:rPr>
        <w:rFonts w:ascii="Arial" w:hAnsi="Arial"/>
        <w:color w:val="404040"/>
        <w:sz w:val="22"/>
      </w:rPr>
      <w:tcPr>
        <w:shd w:val="clear" w:color="FFFFFF" w:fill="FBE5D6" w:themeFill="accent2" w:themeFillTint="32"/>
      </w:tcPr>
    </w:tblStylePr>
  </w:style>
  <w:style w:type="table" w:customStyle="1" w:styleId="80">
    <w:name w:val="Grid Table 3 - Accent 3"/>
    <w:basedOn w:val="31"/>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ECECEC" w:themeFill="accent3" w:themeFillTint="34"/>
      </w:tcPr>
    </w:tblStylePr>
    <w:tblStylePr w:type="band1Horz">
      <w:rPr>
        <w:rFonts w:ascii="Arial" w:hAnsi="Arial"/>
        <w:color w:val="404040"/>
        <w:sz w:val="22"/>
      </w:rPr>
      <w:tcPr>
        <w:shd w:val="clear" w:color="FFFFFF" w:fill="ECECEC" w:themeFill="accent3" w:themeFillTint="34"/>
      </w:tcPr>
    </w:tblStylePr>
  </w:style>
  <w:style w:type="table" w:customStyle="1" w:styleId="81">
    <w:name w:val="Grid Table 3 - Accent 4"/>
    <w:basedOn w:val="31"/>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FEF2CA" w:themeFill="accent4" w:themeFillTint="34"/>
      </w:tcPr>
    </w:tblStylePr>
    <w:tblStylePr w:type="band1Horz">
      <w:rPr>
        <w:rFonts w:ascii="Arial" w:hAnsi="Arial"/>
        <w:color w:val="404040"/>
        <w:sz w:val="22"/>
      </w:rPr>
      <w:tcPr>
        <w:shd w:val="clear" w:color="FFFFFF" w:fill="FEF2CA" w:themeFill="accent4" w:themeFillTint="34"/>
      </w:tcPr>
    </w:tblStylePr>
  </w:style>
  <w:style w:type="table" w:customStyle="1" w:styleId="82">
    <w:name w:val="Grid Table 3 - Accent 5"/>
    <w:basedOn w:val="31"/>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D8E2F2" w:themeFill="accent5" w:themeFillTint="34"/>
      </w:tcPr>
    </w:tblStylePr>
    <w:tblStylePr w:type="band1Horz">
      <w:rPr>
        <w:rFonts w:ascii="Arial" w:hAnsi="Arial"/>
        <w:color w:val="404040"/>
        <w:sz w:val="22"/>
      </w:rPr>
      <w:tcPr>
        <w:shd w:val="clear" w:color="FFFFFF" w:fill="D8E2F2" w:themeFill="accent5" w:themeFillTint="34"/>
      </w:tcPr>
    </w:tblStylePr>
  </w:style>
  <w:style w:type="table" w:customStyle="1" w:styleId="83">
    <w:name w:val="Grid Table 3 - Accent 6"/>
    <w:basedOn w:val="31"/>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E1EFD8" w:themeFill="accent6" w:themeFillTint="34"/>
      </w:tcPr>
    </w:tblStylePr>
    <w:tblStylePr w:type="band1Horz">
      <w:rPr>
        <w:rFonts w:ascii="Arial" w:hAnsi="Arial"/>
        <w:color w:val="404040"/>
        <w:sz w:val="22"/>
      </w:rPr>
      <w:tcPr>
        <w:shd w:val="clear" w:color="FFFFFF" w:fill="E1EFD8" w:themeFill="accent6" w:themeFillTint="34"/>
      </w:tcPr>
    </w:tblStylePr>
  </w:style>
  <w:style w:type="table" w:customStyle="1" w:styleId="84">
    <w:name w:val="Grid Table 4"/>
    <w:basedOn w:val="31"/>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FFFFFF"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CACACA" w:themeFill="text1" w:themeFillTint="34"/>
      </w:tcPr>
    </w:tblStylePr>
    <w:tblStylePr w:type="band1Horz">
      <w:rPr>
        <w:rFonts w:ascii="Arial" w:hAnsi="Arial"/>
        <w:color w:val="404040"/>
        <w:sz w:val="22"/>
      </w:rPr>
      <w:tcPr>
        <w:shd w:val="clear" w:color="FFFFFF" w:fill="CACACA" w:themeFill="text1" w:themeFillTint="34"/>
      </w:tcPr>
    </w:tblStylePr>
  </w:style>
  <w:style w:type="table" w:customStyle="1" w:styleId="85">
    <w:name w:val="Grid Table 4 - Accent 1"/>
    <w:basedOn w:val="31"/>
    <w:qFormat/>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FFFFFF"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EEBF6" w:themeFill="accent1" w:themeFillTint="32"/>
      </w:tcPr>
    </w:tblStylePr>
    <w:tblStylePr w:type="band1Horz">
      <w:rPr>
        <w:rFonts w:ascii="Arial" w:hAnsi="Arial"/>
        <w:color w:val="404040"/>
        <w:sz w:val="22"/>
      </w:rPr>
      <w:tcPr>
        <w:shd w:val="clear" w:color="FFFFFF" w:fill="DEEBF6" w:themeFill="accent1" w:themeFillTint="32"/>
      </w:tcPr>
    </w:tblStylePr>
  </w:style>
  <w:style w:type="table" w:customStyle="1" w:styleId="86">
    <w:name w:val="Grid Table 4 - Accent 2"/>
    <w:basedOn w:val="31"/>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FFFFF"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BE5D6" w:themeFill="accent2" w:themeFillTint="32"/>
      </w:tcPr>
    </w:tblStylePr>
    <w:tblStylePr w:type="band1Horz">
      <w:rPr>
        <w:rFonts w:ascii="Arial" w:hAnsi="Arial"/>
        <w:color w:val="404040"/>
        <w:sz w:val="22"/>
      </w:rPr>
      <w:tcPr>
        <w:shd w:val="clear" w:color="FFFFFF" w:fill="FBE5D6" w:themeFill="accent2" w:themeFillTint="32"/>
      </w:tcPr>
    </w:tblStylePr>
  </w:style>
  <w:style w:type="table" w:customStyle="1" w:styleId="87">
    <w:name w:val="Grid Table 4 - Accent 3"/>
    <w:basedOn w:val="31"/>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FFFFFF"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CECEC" w:themeFill="accent3" w:themeFillTint="34"/>
      </w:tcPr>
    </w:tblStylePr>
    <w:tblStylePr w:type="band1Horz">
      <w:rPr>
        <w:rFonts w:ascii="Arial" w:hAnsi="Arial"/>
        <w:color w:val="404040"/>
        <w:sz w:val="22"/>
      </w:rPr>
      <w:tcPr>
        <w:shd w:val="clear" w:color="FFFFFF" w:fill="ECECEC" w:themeFill="accent3" w:themeFillTint="34"/>
      </w:tcPr>
    </w:tblStylePr>
  </w:style>
  <w:style w:type="table" w:customStyle="1" w:styleId="88">
    <w:name w:val="Grid Table 4 - Accent 4"/>
    <w:basedOn w:val="31"/>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FFFF"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EF2CA" w:themeFill="accent4" w:themeFillTint="34"/>
      </w:tcPr>
    </w:tblStylePr>
    <w:tblStylePr w:type="band1Horz">
      <w:rPr>
        <w:rFonts w:ascii="Arial" w:hAnsi="Arial"/>
        <w:color w:val="404040"/>
        <w:sz w:val="22"/>
      </w:rPr>
      <w:tcPr>
        <w:shd w:val="clear" w:color="FFFFFF" w:fill="FEF2CA" w:themeFill="accent4" w:themeFillTint="34"/>
      </w:tcPr>
    </w:tblStylePr>
  </w:style>
  <w:style w:type="table" w:customStyle="1" w:styleId="89">
    <w:name w:val="Grid Table 4 - Accent 5"/>
    <w:basedOn w:val="31"/>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FFFFFF"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8E2F2" w:themeFill="accent5" w:themeFillTint="34"/>
      </w:tcPr>
    </w:tblStylePr>
    <w:tblStylePr w:type="band1Horz">
      <w:rPr>
        <w:rFonts w:ascii="Arial" w:hAnsi="Arial"/>
        <w:color w:val="404040"/>
        <w:sz w:val="22"/>
      </w:rPr>
      <w:tcPr>
        <w:shd w:val="clear" w:color="FFFFFF" w:fill="D8E2F2" w:themeFill="accent5" w:themeFillTint="34"/>
      </w:tcPr>
    </w:tblStylePr>
  </w:style>
  <w:style w:type="table" w:customStyle="1" w:styleId="90">
    <w:name w:val="Grid Table 4 - Accent 6"/>
    <w:basedOn w:val="31"/>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FFFFFF"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1EFD8" w:themeFill="accent6" w:themeFillTint="34"/>
      </w:tcPr>
    </w:tblStylePr>
    <w:tblStylePr w:type="band1Horz">
      <w:rPr>
        <w:rFonts w:ascii="Arial" w:hAnsi="Arial"/>
        <w:color w:val="404040"/>
        <w:sz w:val="22"/>
      </w:rPr>
      <w:tcPr>
        <w:shd w:val="clear" w:color="FFFFFF" w:fill="E1EFD8" w:themeFill="accent6" w:themeFillTint="34"/>
      </w:tcPr>
    </w:tblStylePr>
  </w:style>
  <w:style w:type="table" w:customStyle="1" w:styleId="91">
    <w:name w:val="Grid Table 5 Dark"/>
    <w:basedOn w:val="31"/>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000000" w:themeFill="text1"/>
      </w:tcPr>
    </w:tblStylePr>
    <w:tblStylePr w:type="lastRow">
      <w:rPr>
        <w:rFonts w:ascii="Arial" w:hAnsi="Arial"/>
        <w:b/>
        <w:color w:val="FFFFFF"/>
        <w:sz w:val="22"/>
      </w:rPr>
      <w:tcPr>
        <w:tcBorders>
          <w:top w:val="single" w:color="FFFFFF" w:themeColor="light1" w:sz="4" w:space="0"/>
        </w:tcBorders>
        <w:shd w:val="clear" w:color="FFFFFF" w:fill="000000" w:themeFill="text1"/>
      </w:tcPr>
    </w:tblStylePr>
    <w:tblStylePr w:type="firstCol">
      <w:rPr>
        <w:rFonts w:ascii="Arial" w:hAnsi="Arial"/>
        <w:b/>
        <w:color w:val="FFFFFF"/>
        <w:sz w:val="22"/>
      </w:rPr>
      <w:tcPr>
        <w:shd w:val="clear" w:color="FFFFFF" w:fill="000000" w:themeFill="text1"/>
      </w:tcPr>
    </w:tblStylePr>
    <w:tblStylePr w:type="lastCol">
      <w:rPr>
        <w:rFonts w:ascii="Arial" w:hAnsi="Arial"/>
        <w:b/>
        <w:color w:val="FFFFFF"/>
        <w:sz w:val="22"/>
      </w:rPr>
      <w:tcPr>
        <w:shd w:val="clear" w:color="FFFFFF" w:fill="000000" w:themeFill="text1"/>
      </w:tcPr>
    </w:tblStylePr>
    <w:tblStylePr w:type="band1Vert">
      <w:tcPr>
        <w:shd w:val="clear" w:color="FFFFFF" w:fill="898989" w:themeFill="text1" w:themeFillTint="75"/>
      </w:tcPr>
    </w:tblStylePr>
    <w:tblStylePr w:type="band1Horz">
      <w:tcPr>
        <w:shd w:val="clear" w:color="FFFFFF" w:fill="898989" w:themeFill="text1" w:themeFillTint="75"/>
      </w:tcPr>
    </w:tblStylePr>
  </w:style>
  <w:style w:type="table" w:customStyle="1" w:styleId="92">
    <w:name w:val="Grid Table 5 Dark- Accent 1"/>
    <w:basedOn w:val="31"/>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5B9BD5" w:themeFill="accent1"/>
      </w:tcPr>
    </w:tblStylePr>
    <w:tblStylePr w:type="lastRow">
      <w:rPr>
        <w:rFonts w:ascii="Arial" w:hAnsi="Arial"/>
        <w:b/>
        <w:color w:val="FFFFFF"/>
        <w:sz w:val="22"/>
      </w:rPr>
      <w:tcPr>
        <w:tcBorders>
          <w:top w:val="single" w:color="FFFFFF" w:themeColor="light1" w:sz="4" w:space="0"/>
        </w:tcBorders>
        <w:shd w:val="clear" w:color="FFFFFF" w:fill="5B9BD5" w:themeFill="accent1"/>
      </w:tcPr>
    </w:tblStylePr>
    <w:tblStylePr w:type="firstCol">
      <w:rPr>
        <w:rFonts w:ascii="Arial" w:hAnsi="Arial"/>
        <w:b/>
        <w:color w:val="FFFFFF"/>
        <w:sz w:val="22"/>
      </w:rPr>
      <w:tcPr>
        <w:shd w:val="clear" w:color="FFFFFF" w:fill="5B9BD5" w:themeFill="accent1"/>
      </w:tcPr>
    </w:tblStylePr>
    <w:tblStylePr w:type="lastCol">
      <w:rPr>
        <w:rFonts w:ascii="Arial" w:hAnsi="Arial"/>
        <w:b/>
        <w:color w:val="FFFFFF"/>
        <w:sz w:val="22"/>
      </w:rPr>
      <w:tcPr>
        <w:shd w:val="clear" w:color="FFFFFF" w:fill="5B9BD5" w:themeFill="accent1"/>
      </w:tcPr>
    </w:tblStylePr>
    <w:tblStylePr w:type="band1Vert">
      <w:tcPr>
        <w:shd w:val="clear" w:color="FFFFFF" w:fill="B3D1EB" w:themeFill="accent1" w:themeFillTint="75"/>
      </w:tcPr>
    </w:tblStylePr>
    <w:tblStylePr w:type="band1Horz">
      <w:tcPr>
        <w:shd w:val="clear" w:color="FFFFFF" w:fill="B3D1EB" w:themeFill="accent1" w:themeFillTint="75"/>
      </w:tcPr>
    </w:tblStylePr>
  </w:style>
  <w:style w:type="table" w:customStyle="1" w:styleId="93">
    <w:name w:val="Grid Table 5 Dark - Accent 2"/>
    <w:basedOn w:val="31"/>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ED7D31" w:themeFill="accent2"/>
      </w:tcPr>
    </w:tblStylePr>
    <w:tblStylePr w:type="lastRow">
      <w:rPr>
        <w:rFonts w:ascii="Arial" w:hAnsi="Arial"/>
        <w:b/>
        <w:color w:val="FFFFFF"/>
        <w:sz w:val="22"/>
      </w:rPr>
      <w:tcPr>
        <w:tcBorders>
          <w:top w:val="single" w:color="FFFFFF" w:themeColor="light1" w:sz="4" w:space="0"/>
        </w:tcBorders>
        <w:shd w:val="clear" w:color="FFFFFF" w:fill="ED7D31" w:themeFill="accent2"/>
      </w:tcPr>
    </w:tblStylePr>
    <w:tblStylePr w:type="firstCol">
      <w:rPr>
        <w:rFonts w:ascii="Arial" w:hAnsi="Arial"/>
        <w:b/>
        <w:color w:val="FFFFFF"/>
        <w:sz w:val="22"/>
      </w:rPr>
      <w:tcPr>
        <w:shd w:val="clear" w:color="FFFFFF" w:fill="ED7D31" w:themeFill="accent2"/>
      </w:tcPr>
    </w:tblStylePr>
    <w:tblStylePr w:type="lastCol">
      <w:rPr>
        <w:rFonts w:ascii="Arial" w:hAnsi="Arial"/>
        <w:b/>
        <w:color w:val="FFFFFF"/>
        <w:sz w:val="22"/>
      </w:rPr>
      <w:tcPr>
        <w:shd w:val="clear" w:color="FFFFFF" w:fill="ED7D31" w:themeFill="accent2"/>
      </w:tcPr>
    </w:tblStylePr>
    <w:tblStylePr w:type="band1Vert">
      <w:tcPr>
        <w:shd w:val="clear" w:color="FFFFFF" w:fill="F6C3A0" w:themeFill="accent2" w:themeFillTint="75"/>
      </w:tcPr>
    </w:tblStylePr>
    <w:tblStylePr w:type="band1Horz">
      <w:tcPr>
        <w:shd w:val="clear" w:color="FFFFFF" w:fill="F6C3A0" w:themeFill="accent2" w:themeFillTint="75"/>
      </w:tcPr>
    </w:tblStylePr>
  </w:style>
  <w:style w:type="table" w:customStyle="1" w:styleId="94">
    <w:name w:val="Grid Table 5 Dark - Accent 3"/>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A5A5A5" w:themeFill="accent3"/>
      </w:tcPr>
    </w:tblStylePr>
    <w:tblStylePr w:type="lastRow">
      <w:rPr>
        <w:rFonts w:ascii="Arial" w:hAnsi="Arial"/>
        <w:b/>
        <w:color w:val="FFFFFF"/>
        <w:sz w:val="22"/>
      </w:rPr>
      <w:tcPr>
        <w:tcBorders>
          <w:top w:val="single" w:color="FFFFFF" w:themeColor="light1" w:sz="4" w:space="0"/>
        </w:tcBorders>
        <w:shd w:val="clear" w:color="FFFFFF" w:fill="A5A5A5" w:themeFill="accent3"/>
      </w:tcPr>
    </w:tblStylePr>
    <w:tblStylePr w:type="firstCol">
      <w:rPr>
        <w:rFonts w:ascii="Arial" w:hAnsi="Arial"/>
        <w:b/>
        <w:color w:val="FFFFFF"/>
        <w:sz w:val="22"/>
      </w:rPr>
      <w:tcPr>
        <w:shd w:val="clear" w:color="FFFFFF" w:fill="A5A5A5" w:themeFill="accent3"/>
      </w:tcPr>
    </w:tblStylePr>
    <w:tblStylePr w:type="lastCol">
      <w:rPr>
        <w:rFonts w:ascii="Arial" w:hAnsi="Arial"/>
        <w:b/>
        <w:color w:val="FFFFFF"/>
        <w:sz w:val="22"/>
      </w:rPr>
      <w:tcPr>
        <w:shd w:val="clear" w:color="FFFFFF" w:fill="A5A5A5" w:themeFill="accent3"/>
      </w:tcPr>
    </w:tblStylePr>
    <w:tblStylePr w:type="band1Vert">
      <w:tcPr>
        <w:shd w:val="clear" w:color="FFFFFF" w:fill="D5D5D5" w:themeFill="accent3" w:themeFillTint="75"/>
      </w:tcPr>
    </w:tblStylePr>
    <w:tblStylePr w:type="band1Horz">
      <w:tcPr>
        <w:shd w:val="clear" w:color="FFFFFF" w:fill="D5D5D5" w:themeFill="accent3" w:themeFillTint="75"/>
      </w:tcPr>
    </w:tblStylePr>
  </w:style>
  <w:style w:type="table" w:customStyle="1" w:styleId="95">
    <w:name w:val="Grid Table 5 Dark- Accent 4"/>
    <w:basedOn w:val="31"/>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FFC000" w:themeFill="accent4"/>
      </w:tcPr>
    </w:tblStylePr>
    <w:tblStylePr w:type="lastRow">
      <w:rPr>
        <w:rFonts w:ascii="Arial" w:hAnsi="Arial"/>
        <w:b/>
        <w:color w:val="FFFFFF"/>
        <w:sz w:val="22"/>
      </w:rPr>
      <w:tcPr>
        <w:tcBorders>
          <w:top w:val="single" w:color="FFFFFF" w:themeColor="light1" w:sz="4" w:space="0"/>
        </w:tcBorders>
        <w:shd w:val="clear" w:color="FFFFFF" w:fill="FFC000" w:themeFill="accent4"/>
      </w:tcPr>
    </w:tblStylePr>
    <w:tblStylePr w:type="firstCol">
      <w:rPr>
        <w:rFonts w:ascii="Arial" w:hAnsi="Arial"/>
        <w:b/>
        <w:color w:val="FFFFFF"/>
        <w:sz w:val="22"/>
      </w:rPr>
      <w:tcPr>
        <w:shd w:val="clear" w:color="FFFFFF" w:fill="FFC000" w:themeFill="accent4"/>
      </w:tcPr>
    </w:tblStylePr>
    <w:tblStylePr w:type="lastCol">
      <w:rPr>
        <w:rFonts w:ascii="Arial" w:hAnsi="Arial"/>
        <w:b/>
        <w:color w:val="FFFFFF"/>
        <w:sz w:val="22"/>
      </w:rPr>
      <w:tcPr>
        <w:shd w:val="clear" w:color="FFFFFF" w:fill="FFC000" w:themeFill="accent4"/>
      </w:tcPr>
    </w:tblStylePr>
    <w:tblStylePr w:type="band1Vert">
      <w:tcPr>
        <w:shd w:val="clear" w:color="FFFFFF" w:fill="FEE289" w:themeFill="accent4" w:themeFillTint="75"/>
      </w:tcPr>
    </w:tblStylePr>
    <w:tblStylePr w:type="band1Horz">
      <w:tcPr>
        <w:shd w:val="clear" w:color="FFFFFF" w:fill="FEE289" w:themeFill="accent4" w:themeFillTint="75"/>
      </w:tcPr>
    </w:tblStylePr>
  </w:style>
  <w:style w:type="table" w:customStyle="1" w:styleId="96">
    <w:name w:val="Grid Table 5 Dark - Accent 5"/>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4472C4" w:themeFill="accent5"/>
      </w:tcPr>
    </w:tblStylePr>
    <w:tblStylePr w:type="lastRow">
      <w:rPr>
        <w:rFonts w:ascii="Arial" w:hAnsi="Arial"/>
        <w:b/>
        <w:color w:val="FFFFFF"/>
        <w:sz w:val="22"/>
      </w:rPr>
      <w:tcPr>
        <w:tcBorders>
          <w:top w:val="single" w:color="FFFFFF" w:themeColor="light1" w:sz="4" w:space="0"/>
        </w:tcBorders>
        <w:shd w:val="clear" w:color="FFFFFF" w:fill="4472C4" w:themeFill="accent5"/>
      </w:tcPr>
    </w:tblStylePr>
    <w:tblStylePr w:type="firstCol">
      <w:rPr>
        <w:rFonts w:ascii="Arial" w:hAnsi="Arial"/>
        <w:b/>
        <w:color w:val="FFFFFF"/>
        <w:sz w:val="22"/>
      </w:rPr>
      <w:tcPr>
        <w:shd w:val="clear" w:color="FFFFFF" w:fill="4472C4" w:themeFill="accent5"/>
      </w:tcPr>
    </w:tblStylePr>
    <w:tblStylePr w:type="lastCol">
      <w:rPr>
        <w:rFonts w:ascii="Arial" w:hAnsi="Arial"/>
        <w:b/>
        <w:color w:val="FFFFFF"/>
        <w:sz w:val="22"/>
      </w:rPr>
      <w:tcPr>
        <w:shd w:val="clear" w:color="FFFFFF" w:fill="4472C4" w:themeFill="accent5"/>
      </w:tcPr>
    </w:tblStylePr>
    <w:tblStylePr w:type="band1Vert">
      <w:tcPr>
        <w:shd w:val="clear" w:color="FFFFFF" w:fill="A9BEE3" w:themeFill="accent5" w:themeFillTint="75"/>
      </w:tcPr>
    </w:tblStylePr>
    <w:tblStylePr w:type="band1Horz">
      <w:tcPr>
        <w:shd w:val="clear" w:color="FFFFFF" w:fill="A9BEE3" w:themeFill="accent5" w:themeFillTint="75"/>
      </w:tcPr>
    </w:tblStylePr>
  </w:style>
  <w:style w:type="table" w:customStyle="1" w:styleId="97">
    <w:name w:val="Grid Table 5 Dark - Accent 6"/>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70AD47" w:themeFill="accent6"/>
      </w:tcPr>
    </w:tblStylePr>
    <w:tblStylePr w:type="lastRow">
      <w:rPr>
        <w:rFonts w:ascii="Arial" w:hAnsi="Arial"/>
        <w:b/>
        <w:color w:val="FFFFFF"/>
        <w:sz w:val="22"/>
      </w:rPr>
      <w:tcPr>
        <w:tcBorders>
          <w:top w:val="single" w:color="FFFFFF" w:themeColor="light1" w:sz="4" w:space="0"/>
        </w:tcBorders>
        <w:shd w:val="clear" w:color="FFFFFF" w:fill="70AD47" w:themeFill="accent6"/>
      </w:tcPr>
    </w:tblStylePr>
    <w:tblStylePr w:type="firstCol">
      <w:rPr>
        <w:rFonts w:ascii="Arial" w:hAnsi="Arial"/>
        <w:b/>
        <w:color w:val="FFFFFF"/>
        <w:sz w:val="22"/>
      </w:rPr>
      <w:tcPr>
        <w:shd w:val="clear" w:color="FFFFFF" w:fill="70AD47" w:themeFill="accent6"/>
      </w:tcPr>
    </w:tblStylePr>
    <w:tblStylePr w:type="lastCol">
      <w:rPr>
        <w:rFonts w:ascii="Arial" w:hAnsi="Arial"/>
        <w:b/>
        <w:color w:val="FFFFFF"/>
        <w:sz w:val="22"/>
      </w:rPr>
      <w:tcPr>
        <w:shd w:val="clear" w:color="FFFFFF" w:fill="70AD47" w:themeFill="accent6"/>
      </w:tcPr>
    </w:tblStylePr>
    <w:tblStylePr w:type="band1Vert">
      <w:tcPr>
        <w:shd w:val="clear" w:color="FFFFFF" w:fill="BCDBA8" w:themeFill="accent6" w:themeFillTint="75"/>
      </w:tcPr>
    </w:tblStylePr>
    <w:tblStylePr w:type="band1Horz">
      <w:tcPr>
        <w:shd w:val="clear" w:color="FFFFFF" w:fill="BCDBA8" w:themeFill="accent6" w:themeFillTint="75"/>
      </w:tcPr>
    </w:tblStylePr>
  </w:style>
  <w:style w:type="table" w:customStyle="1" w:styleId="98">
    <w:name w:val="Grid Table 6 Colorful"/>
    <w:basedOn w:val="31"/>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FFFFFF"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FFFFF"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99">
    <w:name w:val="Grid Table 6 Colorful - Accent 1"/>
    <w:basedOn w:val="31"/>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FFFFFF"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FFFFFF"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00">
    <w:name w:val="Grid Table 6 Colorful - Accent 2"/>
    <w:basedOn w:val="31"/>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FFFFF"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FFFFF"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01">
    <w:name w:val="Grid Table 6 Colorful - Accent 3"/>
    <w:basedOn w:val="31"/>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FFFFFF"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FFFFFF"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02">
    <w:name w:val="Grid Table 6 Colorful - Accent 4"/>
    <w:basedOn w:val="31"/>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FFFF"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FFFF"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03">
    <w:name w:val="Grid Table 6 Colorful - Accent 5"/>
    <w:basedOn w:val="31"/>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FFFFFF" w:fill="D8E2F2" w:themeFill="accent5" w:themeFillTint="34"/>
      </w:tcPr>
    </w:tblStylePr>
    <w:tblStylePr w:type="band1Horz">
      <w:rPr>
        <w:rFonts w:ascii="Arial" w:hAnsi="Arial"/>
        <w:color w:val="254174" w:themeColor="accent5" w:themeShade="94"/>
        <w:sz w:val="22"/>
      </w:rPr>
      <w:tcPr>
        <w:shd w:val="clear" w:color="FFFFFF" w:fill="D8E2F2" w:themeFill="accent5" w:themeFillTint="34"/>
      </w:tcPr>
    </w:tblStylePr>
    <w:tblStylePr w:type="band2Horz">
      <w:rPr>
        <w:rFonts w:ascii="Arial" w:hAnsi="Arial"/>
        <w:color w:val="254174" w:themeColor="accent5" w:themeShade="94"/>
        <w:sz w:val="22"/>
      </w:rPr>
    </w:tblStylePr>
  </w:style>
  <w:style w:type="table" w:customStyle="1" w:styleId="104">
    <w:name w:val="Grid Table 6 Colorful - Accent 6"/>
    <w:basedOn w:val="31"/>
    <w:qFormat/>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FFFFFF" w:fill="E1EFD8" w:themeFill="accent6" w:themeFillTint="34"/>
      </w:tcPr>
    </w:tblStylePr>
    <w:tblStylePr w:type="band1Horz">
      <w:rPr>
        <w:rFonts w:ascii="Arial" w:hAnsi="Arial"/>
        <w:color w:val="254174" w:themeColor="accent5" w:themeShade="94"/>
        <w:sz w:val="22"/>
      </w:rPr>
      <w:tcPr>
        <w:shd w:val="clear" w:color="FFFFFF" w:fill="E1EFD8" w:themeFill="accent6" w:themeFillTint="34"/>
      </w:tcPr>
    </w:tblStylePr>
    <w:tblStylePr w:type="band2Horz">
      <w:rPr>
        <w:rFonts w:ascii="Arial" w:hAnsi="Arial"/>
        <w:color w:val="254174" w:themeColor="accent5" w:themeShade="94"/>
        <w:sz w:val="22"/>
      </w:rPr>
    </w:tblStylePr>
  </w:style>
  <w:style w:type="table" w:customStyle="1" w:styleId="105">
    <w:name w:val="Grid Table 7 Colorful"/>
    <w:basedOn w:val="31"/>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FFFFFF"/>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FFFFFF"/>
      </w:tcPr>
    </w:tblStylePr>
    <w:tblStylePr w:type="band1Vert">
      <w:tcPr>
        <w:shd w:val="clear" w:color="FFFFFF"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FFFFF"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6">
    <w:name w:val="Grid Table 7 Colorful - Accent 1"/>
    <w:basedOn w:val="31"/>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FFFFFF"/>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FFFFFF"/>
      </w:tcPr>
    </w:tblStylePr>
    <w:tblStylePr w:type="band1Vert">
      <w:tcPr>
        <w:shd w:val="clear" w:color="FFFFFF"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FFFFFF"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07">
    <w:name w:val="Grid Table 7 Colorful - Accent 2"/>
    <w:basedOn w:val="31"/>
    <w:qFormat/>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FFFFFF"/>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FFFFFF"/>
      </w:tcPr>
    </w:tblStylePr>
    <w:tblStylePr w:type="band1Vert">
      <w:tcPr>
        <w:shd w:val="clear" w:color="FFFFFF"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FFFFF"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08">
    <w:name w:val="Grid Table 7 Colorful - Accent 3"/>
    <w:basedOn w:val="31"/>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FFFFFF"/>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FFFFFF"/>
      </w:tcPr>
    </w:tblStylePr>
    <w:tblStylePr w:type="band1Vert">
      <w:tcPr>
        <w:shd w:val="clear" w:color="FFFFFF"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FFFFFF"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09">
    <w:name w:val="Grid Table 7 Colorful - Accent 4"/>
    <w:basedOn w:val="31"/>
    <w:qFormat/>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FFFFFF"/>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FFFFFF"/>
      </w:tcPr>
    </w:tblStylePr>
    <w:tblStylePr w:type="band1Vert">
      <w:tcPr>
        <w:shd w:val="clear" w:color="FFFFFF"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FFFF"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10">
    <w:name w:val="Grid Table 7 Colorful - Accent 5"/>
    <w:basedOn w:val="31"/>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FFFFFF"/>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FFFFFF"/>
      </w:tcPr>
    </w:tblStylePr>
    <w:tblStylePr w:type="band1Vert">
      <w:tcPr>
        <w:shd w:val="clear" w:color="FFFFFF" w:fill="D8E2F2" w:themeFill="accent5" w:themeFillTint="34"/>
      </w:tcPr>
    </w:tblStylePr>
    <w:tblStylePr w:type="band1Horz">
      <w:rPr>
        <w:rFonts w:ascii="Arial" w:hAnsi="Arial"/>
        <w:color w:val="254174" w:themeColor="accent5" w:themeShade="94"/>
        <w:sz w:val="22"/>
      </w:rPr>
      <w:tcPr>
        <w:shd w:val="clear" w:color="FFFFFF" w:fill="D8E2F2" w:themeFill="accent5" w:themeFillTint="34"/>
      </w:tcPr>
    </w:tblStylePr>
    <w:tblStylePr w:type="band2Horz">
      <w:rPr>
        <w:rFonts w:ascii="Arial" w:hAnsi="Arial"/>
        <w:color w:val="254174" w:themeColor="accent5" w:themeShade="94"/>
        <w:sz w:val="22"/>
      </w:rPr>
    </w:tblStylePr>
  </w:style>
  <w:style w:type="table" w:customStyle="1" w:styleId="111">
    <w:name w:val="Grid Table 7 Colorful - Accent 6"/>
    <w:basedOn w:val="31"/>
    <w:qFormat/>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FFFFFF"/>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FFFFFF"/>
      </w:tcPr>
    </w:tblStylePr>
    <w:tblStylePr w:type="band1Vert">
      <w:tcPr>
        <w:shd w:val="clear" w:color="FFFFFF" w:fill="E1EFD8" w:themeFill="accent6" w:themeFillTint="34"/>
      </w:tcPr>
    </w:tblStylePr>
    <w:tblStylePr w:type="band1Horz">
      <w:rPr>
        <w:rFonts w:ascii="Arial" w:hAnsi="Arial"/>
        <w:color w:val="416429" w:themeColor="accent6" w:themeShade="94"/>
        <w:sz w:val="22"/>
      </w:rPr>
      <w:tcPr>
        <w:shd w:val="clear" w:color="FFFFFF" w:fill="E1EFD8" w:themeFill="accent6" w:themeFillTint="34"/>
      </w:tcPr>
    </w:tblStylePr>
    <w:tblStylePr w:type="band2Horz">
      <w:rPr>
        <w:rFonts w:ascii="Arial" w:hAnsi="Arial"/>
        <w:color w:val="416429" w:themeColor="accent6" w:themeShade="94"/>
        <w:sz w:val="22"/>
      </w:rPr>
    </w:tblStylePr>
  </w:style>
  <w:style w:type="table" w:customStyle="1" w:styleId="112">
    <w:name w:val="List Table 1 Light"/>
    <w:basedOn w:val="31"/>
    <w:qFormat/>
    <w:uiPriority w:val="99"/>
    <w:pPr>
      <w:spacing w:after="0" w:line="240" w:lineRule="auto"/>
    </w:pP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BEBEBE" w:themeFill="text1" w:themeFillTint="40"/>
      </w:tcPr>
    </w:tblStylePr>
    <w:tblStylePr w:type="band1Horz">
      <w:tcPr>
        <w:shd w:val="clear" w:color="FFFFFF" w:fill="BEBEBE" w:themeFill="text1" w:themeFillTint="40"/>
      </w:tcPr>
    </w:tblStylePr>
  </w:style>
  <w:style w:type="table" w:customStyle="1" w:styleId="113">
    <w:name w:val="List Table 1 Light - Accent 1"/>
    <w:basedOn w:val="31"/>
    <w:qFormat/>
    <w:uiPriority w:val="99"/>
    <w:pPr>
      <w:spacing w:after="0" w:line="240" w:lineRule="auto"/>
    </w:pPr>
    <w:tbl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D5E5F4" w:themeFill="accent1" w:themeFillTint="40"/>
      </w:tcPr>
    </w:tblStylePr>
    <w:tblStylePr w:type="band1Horz">
      <w:tcPr>
        <w:shd w:val="clear" w:color="FFFFFF" w:fill="D5E5F4" w:themeFill="accent1" w:themeFillTint="40"/>
      </w:tcPr>
    </w:tblStylePr>
  </w:style>
  <w:style w:type="table" w:customStyle="1" w:styleId="114">
    <w:name w:val="List Table 1 Light - Accent 2"/>
    <w:basedOn w:val="31"/>
    <w:uiPriority w:val="99"/>
    <w:pPr>
      <w:spacing w:after="0" w:line="240" w:lineRule="auto"/>
    </w:pPr>
    <w:tbl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FADECB" w:themeFill="accent2" w:themeFillTint="40"/>
      </w:tcPr>
    </w:tblStylePr>
    <w:tblStylePr w:type="band1Horz">
      <w:tcPr>
        <w:shd w:val="clear" w:color="FFFFFF" w:fill="FADECB" w:themeFill="accent2" w:themeFillTint="40"/>
      </w:tcPr>
    </w:tblStylePr>
  </w:style>
  <w:style w:type="table" w:customStyle="1" w:styleId="115">
    <w:name w:val="List Table 1 Light - Accent 3"/>
    <w:basedOn w:val="31"/>
    <w:qFormat/>
    <w:uiPriority w:val="99"/>
    <w:pPr>
      <w:spacing w:after="0" w:line="240" w:lineRule="auto"/>
    </w:pPr>
    <w:tbl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E8E8E8" w:themeFill="accent3" w:themeFillTint="40"/>
      </w:tcPr>
    </w:tblStylePr>
    <w:tblStylePr w:type="band1Horz">
      <w:tcPr>
        <w:shd w:val="clear" w:color="FFFFFF" w:fill="E8E8E8" w:themeFill="accent3" w:themeFillTint="40"/>
      </w:tcPr>
    </w:tblStylePr>
  </w:style>
  <w:style w:type="table" w:customStyle="1" w:styleId="116">
    <w:name w:val="List Table 1 Light - Accent 4"/>
    <w:basedOn w:val="31"/>
    <w:uiPriority w:val="99"/>
    <w:pPr>
      <w:spacing w:after="0" w:line="240" w:lineRule="auto"/>
    </w:pPr>
    <w:tbl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FFEFBE" w:themeFill="accent4" w:themeFillTint="40"/>
      </w:tcPr>
    </w:tblStylePr>
    <w:tblStylePr w:type="band1Horz">
      <w:tcPr>
        <w:shd w:val="clear" w:color="FFFFFF" w:fill="FFEFBE" w:themeFill="accent4" w:themeFillTint="40"/>
      </w:tcPr>
    </w:tblStylePr>
  </w:style>
  <w:style w:type="table" w:customStyle="1" w:styleId="117">
    <w:name w:val="List Table 1 Light - Accent 5"/>
    <w:basedOn w:val="31"/>
    <w:uiPriority w:val="99"/>
    <w:pPr>
      <w:spacing w:after="0" w:line="240" w:lineRule="auto"/>
    </w:pPr>
    <w:tbl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D0DBF0" w:themeFill="accent5" w:themeFillTint="40"/>
      </w:tcPr>
    </w:tblStylePr>
    <w:tblStylePr w:type="band1Horz">
      <w:tcPr>
        <w:shd w:val="clear" w:color="FFFFFF" w:fill="D0DBF0" w:themeFill="accent5" w:themeFillTint="40"/>
      </w:tcPr>
    </w:tblStylePr>
  </w:style>
  <w:style w:type="table" w:customStyle="1" w:styleId="118">
    <w:name w:val="List Table 1 Light - Accent 6"/>
    <w:basedOn w:val="31"/>
    <w:qFormat/>
    <w:uiPriority w:val="99"/>
    <w:pPr>
      <w:spacing w:after="0" w:line="240" w:lineRule="auto"/>
    </w:pPr>
    <w:tbl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DAEBCF" w:themeFill="accent6" w:themeFillTint="40"/>
      </w:tcPr>
    </w:tblStylePr>
    <w:tblStylePr w:type="band1Horz">
      <w:tcPr>
        <w:shd w:val="clear" w:color="FFFFFF" w:fill="DAEBCF" w:themeFill="accent6" w:themeFillTint="40"/>
      </w:tcPr>
    </w:tblStylePr>
  </w:style>
  <w:style w:type="table" w:customStyle="1" w:styleId="119">
    <w:name w:val="List Table 2"/>
    <w:basedOn w:val="31"/>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BEBEBE" w:themeFill="text1" w:themeFillTint="40"/>
      </w:tcPr>
    </w:tblStylePr>
    <w:tblStylePr w:type="band1Horz">
      <w:rPr>
        <w:rFonts w:ascii="Arial" w:hAnsi="Arial"/>
        <w:color w:val="404040"/>
        <w:sz w:val="22"/>
      </w:rPr>
      <w:tcPr>
        <w:shd w:val="clear" w:color="FFFFFF" w:fill="BEBEBE" w:themeFill="text1" w:themeFillTint="40"/>
      </w:tcPr>
    </w:tblStylePr>
  </w:style>
  <w:style w:type="table" w:customStyle="1" w:styleId="120">
    <w:name w:val="List Table 2 - Accent 1"/>
    <w:basedOn w:val="31"/>
    <w:qFormat/>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D5E5F4" w:themeFill="accent1" w:themeFillTint="40"/>
      </w:tcPr>
    </w:tblStylePr>
    <w:tblStylePr w:type="band1Horz">
      <w:rPr>
        <w:rFonts w:ascii="Arial" w:hAnsi="Arial"/>
        <w:color w:val="404040"/>
        <w:sz w:val="22"/>
      </w:rPr>
      <w:tcPr>
        <w:shd w:val="clear" w:color="FFFFFF" w:fill="D5E5F4" w:themeFill="accent1" w:themeFillTint="40"/>
      </w:tcPr>
    </w:tblStylePr>
  </w:style>
  <w:style w:type="table" w:customStyle="1" w:styleId="121">
    <w:name w:val="List Table 2 - Accent 2"/>
    <w:basedOn w:val="31"/>
    <w:qFormat/>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FADECB" w:themeFill="accent2" w:themeFillTint="40"/>
      </w:tcPr>
    </w:tblStylePr>
    <w:tblStylePr w:type="band1Horz">
      <w:rPr>
        <w:rFonts w:ascii="Arial" w:hAnsi="Arial"/>
        <w:color w:val="404040"/>
        <w:sz w:val="22"/>
      </w:rPr>
      <w:tcPr>
        <w:shd w:val="clear" w:color="FFFFFF" w:fill="FADECB" w:themeFill="accent2" w:themeFillTint="40"/>
      </w:tcPr>
    </w:tblStylePr>
  </w:style>
  <w:style w:type="table" w:customStyle="1" w:styleId="122">
    <w:name w:val="List Table 2 - Accent 3"/>
    <w:basedOn w:val="31"/>
    <w:qFormat/>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E8E8E8" w:themeFill="accent3" w:themeFillTint="40"/>
      </w:tcPr>
    </w:tblStylePr>
    <w:tblStylePr w:type="band1Horz">
      <w:rPr>
        <w:rFonts w:ascii="Arial" w:hAnsi="Arial"/>
        <w:color w:val="404040"/>
        <w:sz w:val="22"/>
      </w:rPr>
      <w:tcPr>
        <w:shd w:val="clear" w:color="FFFFFF" w:fill="E8E8E8" w:themeFill="accent3" w:themeFillTint="40"/>
      </w:tcPr>
    </w:tblStylePr>
  </w:style>
  <w:style w:type="table" w:customStyle="1" w:styleId="123">
    <w:name w:val="List Table 2 - Accent 4"/>
    <w:basedOn w:val="31"/>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FFEFBE" w:themeFill="accent4" w:themeFillTint="40"/>
      </w:tcPr>
    </w:tblStylePr>
    <w:tblStylePr w:type="band1Horz">
      <w:rPr>
        <w:rFonts w:ascii="Arial" w:hAnsi="Arial"/>
        <w:color w:val="404040"/>
        <w:sz w:val="22"/>
      </w:rPr>
      <w:tcPr>
        <w:shd w:val="clear" w:color="FFFFFF" w:fill="FFEFBE" w:themeFill="accent4" w:themeFillTint="40"/>
      </w:tcPr>
    </w:tblStylePr>
  </w:style>
  <w:style w:type="table" w:customStyle="1" w:styleId="124">
    <w:name w:val="List Table 2 - Accent 5"/>
    <w:basedOn w:val="31"/>
    <w:qFormat/>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D0DBF0" w:themeFill="accent5" w:themeFillTint="40"/>
      </w:tcPr>
    </w:tblStylePr>
    <w:tblStylePr w:type="band1Horz">
      <w:rPr>
        <w:rFonts w:ascii="Arial" w:hAnsi="Arial"/>
        <w:color w:val="404040"/>
        <w:sz w:val="22"/>
      </w:rPr>
      <w:tcPr>
        <w:shd w:val="clear" w:color="FFFFFF" w:fill="D0DBF0" w:themeFill="accent5" w:themeFillTint="40"/>
      </w:tcPr>
    </w:tblStylePr>
  </w:style>
  <w:style w:type="table" w:customStyle="1" w:styleId="125">
    <w:name w:val="List Table 2 - Accent 6"/>
    <w:basedOn w:val="31"/>
    <w:qFormat/>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DAEBCF" w:themeFill="accent6" w:themeFillTint="40"/>
      </w:tcPr>
    </w:tblStylePr>
    <w:tblStylePr w:type="band1Horz">
      <w:rPr>
        <w:rFonts w:ascii="Arial" w:hAnsi="Arial"/>
        <w:color w:val="404040"/>
        <w:sz w:val="22"/>
      </w:rPr>
      <w:tcPr>
        <w:shd w:val="clear" w:color="FFFFFF" w:fill="DAEBCF" w:themeFill="accent6" w:themeFillTint="40"/>
      </w:tcPr>
    </w:tblStylePr>
  </w:style>
  <w:style w:type="table" w:customStyle="1" w:styleId="126">
    <w:name w:val="List Table 3"/>
    <w:basedOn w:val="31"/>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7">
    <w:name w:val="List Table 3 - Accent 1"/>
    <w:basedOn w:val="31"/>
    <w:qFormat/>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28">
    <w:name w:val="List Table 3 - Accent 2"/>
    <w:basedOn w:val="31"/>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FFFFF"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29">
    <w:name w:val="List Table 3 - Accent 3"/>
    <w:basedOn w:val="31"/>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30">
    <w:name w:val="List Table 3 - Accent 4"/>
    <w:basedOn w:val="31"/>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FFFF"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31">
    <w:name w:val="List Table 3 - Accent 5"/>
    <w:basedOn w:val="31"/>
    <w:qFormat/>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FFFFFF"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32">
    <w:name w:val="List Table 3 - Accent 6"/>
    <w:basedOn w:val="31"/>
    <w:qFormat/>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33">
    <w:name w:val="List Table 4"/>
    <w:basedOn w:val="31"/>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BEBEBE" w:themeFill="text1" w:themeFillTint="40"/>
      </w:tcPr>
    </w:tblStylePr>
    <w:tblStylePr w:type="band1Horz">
      <w:rPr>
        <w:rFonts w:ascii="Arial" w:hAnsi="Arial"/>
        <w:color w:val="404040"/>
        <w:sz w:val="22"/>
      </w:rPr>
      <w:tcPr>
        <w:shd w:val="clear" w:color="FFFFFF" w:fill="BEBEBE" w:themeFill="text1" w:themeFillTint="40"/>
      </w:tcPr>
    </w:tblStylePr>
  </w:style>
  <w:style w:type="table" w:customStyle="1" w:styleId="134">
    <w:name w:val="List Table 4 - Accent 1"/>
    <w:basedOn w:val="31"/>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5E5F4" w:themeFill="accent1" w:themeFillTint="40"/>
      </w:tcPr>
    </w:tblStylePr>
    <w:tblStylePr w:type="band1Horz">
      <w:rPr>
        <w:rFonts w:ascii="Arial" w:hAnsi="Arial"/>
        <w:color w:val="404040"/>
        <w:sz w:val="22"/>
      </w:rPr>
      <w:tcPr>
        <w:shd w:val="clear" w:color="FFFFFF" w:fill="D5E5F4" w:themeFill="accent1" w:themeFillTint="40"/>
      </w:tcPr>
    </w:tblStylePr>
  </w:style>
  <w:style w:type="table" w:customStyle="1" w:styleId="135">
    <w:name w:val="List Table 4 - Accent 2"/>
    <w:basedOn w:val="31"/>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ADECB" w:themeFill="accent2" w:themeFillTint="40"/>
      </w:tcPr>
    </w:tblStylePr>
    <w:tblStylePr w:type="band1Horz">
      <w:rPr>
        <w:rFonts w:ascii="Arial" w:hAnsi="Arial"/>
        <w:color w:val="404040"/>
        <w:sz w:val="22"/>
      </w:rPr>
      <w:tcPr>
        <w:shd w:val="clear" w:color="FFFFFF" w:fill="FADECB" w:themeFill="accent2" w:themeFillTint="40"/>
      </w:tcPr>
    </w:tblStylePr>
  </w:style>
  <w:style w:type="table" w:customStyle="1" w:styleId="136">
    <w:name w:val="List Table 4 - Accent 3"/>
    <w:basedOn w:val="31"/>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8E8E8" w:themeFill="accent3" w:themeFillTint="40"/>
      </w:tcPr>
    </w:tblStylePr>
    <w:tblStylePr w:type="band1Horz">
      <w:rPr>
        <w:rFonts w:ascii="Arial" w:hAnsi="Arial"/>
        <w:color w:val="404040"/>
        <w:sz w:val="22"/>
      </w:rPr>
      <w:tcPr>
        <w:shd w:val="clear" w:color="FFFFFF" w:fill="E8E8E8" w:themeFill="accent3" w:themeFillTint="40"/>
      </w:tcPr>
    </w:tblStylePr>
  </w:style>
  <w:style w:type="table" w:customStyle="1" w:styleId="137">
    <w:name w:val="List Table 4 - Accent 4"/>
    <w:basedOn w:val="31"/>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FEFBE" w:themeFill="accent4" w:themeFillTint="40"/>
      </w:tcPr>
    </w:tblStylePr>
    <w:tblStylePr w:type="band1Horz">
      <w:rPr>
        <w:rFonts w:ascii="Arial" w:hAnsi="Arial"/>
        <w:color w:val="404040"/>
        <w:sz w:val="22"/>
      </w:rPr>
      <w:tcPr>
        <w:shd w:val="clear" w:color="FFFFFF" w:fill="FFEFBE" w:themeFill="accent4" w:themeFillTint="40"/>
      </w:tcPr>
    </w:tblStylePr>
  </w:style>
  <w:style w:type="table" w:customStyle="1" w:styleId="138">
    <w:name w:val="List Table 4 - Accent 5"/>
    <w:basedOn w:val="31"/>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0DBF0" w:themeFill="accent5" w:themeFillTint="40"/>
      </w:tcPr>
    </w:tblStylePr>
    <w:tblStylePr w:type="band1Horz">
      <w:rPr>
        <w:rFonts w:ascii="Arial" w:hAnsi="Arial"/>
        <w:color w:val="404040"/>
        <w:sz w:val="22"/>
      </w:rPr>
      <w:tcPr>
        <w:shd w:val="clear" w:color="FFFFFF" w:fill="D0DBF0" w:themeFill="accent5" w:themeFillTint="40"/>
      </w:tcPr>
    </w:tblStylePr>
  </w:style>
  <w:style w:type="table" w:customStyle="1" w:styleId="139">
    <w:name w:val="List Table 4 - Accent 6"/>
    <w:basedOn w:val="31"/>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AEBCF" w:themeFill="accent6" w:themeFillTint="40"/>
      </w:tcPr>
    </w:tblStylePr>
    <w:tblStylePr w:type="band1Horz">
      <w:rPr>
        <w:rFonts w:ascii="Arial" w:hAnsi="Arial"/>
        <w:color w:val="404040"/>
        <w:sz w:val="22"/>
      </w:rPr>
      <w:tcPr>
        <w:shd w:val="clear" w:color="FFFFFF" w:fill="DAEBCF" w:themeFill="accent6" w:themeFillTint="40"/>
      </w:tcPr>
    </w:tblStylePr>
  </w:style>
  <w:style w:type="table" w:customStyle="1" w:styleId="140">
    <w:name w:val="List Table 5 Dark"/>
    <w:basedOn w:val="31"/>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FFFFFF"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FFFFFF"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7E7E7E" w:themeFill="text1" w:themeFillTint="80"/>
      </w:tcPr>
    </w:tblStylePr>
    <w:tblStylePr w:type="band2Horz">
      <w:tcPr>
        <w:tcBorders>
          <w:top w:val="single" w:color="FFFFFF" w:themeColor="light1" w:sz="4" w:space="0"/>
          <w:bottom w:val="single" w:color="FFFFFF" w:themeColor="light1" w:sz="4" w:space="0"/>
        </w:tcBorders>
        <w:shd w:val="clear" w:color="FFFFFF" w:fill="7E7E7E" w:themeFill="text1" w:themeFillTint="80"/>
      </w:tcPr>
    </w:tblStylePr>
  </w:style>
  <w:style w:type="table" w:customStyle="1" w:styleId="141">
    <w:name w:val="List Table 5 Dark - Accent 1"/>
    <w:basedOn w:val="31"/>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FFFFFF"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FFFFFF"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5B9BD5" w:themeFill="accent1"/>
      </w:tcPr>
    </w:tblStylePr>
    <w:tblStylePr w:type="band2Horz">
      <w:tcPr>
        <w:tcBorders>
          <w:top w:val="single" w:color="FFFFFF" w:themeColor="light1" w:sz="4" w:space="0"/>
          <w:bottom w:val="single" w:color="FFFFFF" w:themeColor="light1" w:sz="4" w:space="0"/>
        </w:tcBorders>
        <w:shd w:val="clear" w:color="FFFFFF" w:fill="5B9BD5" w:themeFill="accent1"/>
      </w:tcPr>
    </w:tblStylePr>
  </w:style>
  <w:style w:type="table" w:customStyle="1" w:styleId="142">
    <w:name w:val="List Table 5 Dark - Accent 2"/>
    <w:basedOn w:val="31"/>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FFFFF"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FFFFF"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F4B285" w:themeFill="accent2" w:themeFillTint="97"/>
      </w:tcPr>
    </w:tblStylePr>
    <w:tblStylePr w:type="band2Horz">
      <w:tcPr>
        <w:tcBorders>
          <w:top w:val="single" w:color="FFFFFF" w:themeColor="light1" w:sz="4" w:space="0"/>
          <w:bottom w:val="single" w:color="FFFFFF" w:themeColor="light1" w:sz="4" w:space="0"/>
        </w:tcBorders>
        <w:shd w:val="clear" w:color="FFFFFF" w:fill="F4B285" w:themeFill="accent2" w:themeFillTint="97"/>
      </w:tcPr>
    </w:tblStylePr>
  </w:style>
  <w:style w:type="table" w:customStyle="1" w:styleId="143">
    <w:name w:val="List Table 5 Dark - Accent 3"/>
    <w:basedOn w:val="31"/>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FFFFFF"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FFFFFF"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C9C9C9" w:themeFill="accent3" w:themeFillTint="98"/>
      </w:tcPr>
    </w:tblStylePr>
    <w:tblStylePr w:type="band2Horz">
      <w:tcPr>
        <w:tcBorders>
          <w:top w:val="single" w:color="FFFFFF" w:themeColor="light1" w:sz="4" w:space="0"/>
          <w:bottom w:val="single" w:color="FFFFFF" w:themeColor="light1" w:sz="4" w:space="0"/>
        </w:tcBorders>
        <w:shd w:val="clear" w:color="FFFFFF" w:fill="C9C9C9" w:themeFill="accent3" w:themeFillTint="98"/>
      </w:tcPr>
    </w:tblStylePr>
  </w:style>
  <w:style w:type="table" w:customStyle="1" w:styleId="144">
    <w:name w:val="List Table 5 Dark - Accent 4"/>
    <w:basedOn w:val="31"/>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FFFF"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FFFF"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FFD864" w:themeFill="accent4" w:themeFillTint="9A"/>
      </w:tcPr>
    </w:tblStylePr>
    <w:tblStylePr w:type="band2Horz">
      <w:tcPr>
        <w:tcBorders>
          <w:top w:val="single" w:color="FFFFFF" w:themeColor="light1" w:sz="4" w:space="0"/>
          <w:bottom w:val="single" w:color="FFFFFF" w:themeColor="light1" w:sz="4" w:space="0"/>
        </w:tcBorders>
        <w:shd w:val="clear" w:color="FFFFFF" w:fill="FFD864" w:themeFill="accent4" w:themeFillTint="9A"/>
      </w:tcPr>
    </w:tblStylePr>
  </w:style>
  <w:style w:type="table" w:customStyle="1" w:styleId="145">
    <w:name w:val="List Table 5 Dark - Accent 5"/>
    <w:basedOn w:val="31"/>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FFFFFF"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FFFFFF"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8EA9DB" w:themeFill="accent5" w:themeFillTint="9A"/>
      </w:tcPr>
    </w:tblStylePr>
    <w:tblStylePr w:type="band2Horz">
      <w:tcPr>
        <w:tcBorders>
          <w:top w:val="single" w:color="FFFFFF" w:themeColor="light1" w:sz="4" w:space="0"/>
          <w:bottom w:val="single" w:color="FFFFFF" w:themeColor="light1" w:sz="4" w:space="0"/>
        </w:tcBorders>
        <w:shd w:val="clear" w:color="FFFFFF" w:fill="8EA9DB" w:themeFill="accent5" w:themeFillTint="9A"/>
      </w:tcPr>
    </w:tblStylePr>
  </w:style>
  <w:style w:type="table" w:customStyle="1" w:styleId="146">
    <w:name w:val="List Table 5 Dark - Accent 6"/>
    <w:basedOn w:val="31"/>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FFFFFF"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FFFFFF"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A9D08E" w:themeFill="accent6" w:themeFillTint="98"/>
      </w:tcPr>
    </w:tblStylePr>
    <w:tblStylePr w:type="band2Horz">
      <w:tcPr>
        <w:tcBorders>
          <w:top w:val="single" w:color="FFFFFF" w:themeColor="light1" w:sz="4" w:space="0"/>
          <w:bottom w:val="single" w:color="FFFFFF" w:themeColor="light1" w:sz="4" w:space="0"/>
        </w:tcBorders>
        <w:shd w:val="clear" w:color="FFFFFF" w:fill="A9D08E" w:themeFill="accent6" w:themeFillTint="98"/>
      </w:tcPr>
    </w:tblStylePr>
  </w:style>
  <w:style w:type="table" w:customStyle="1" w:styleId="147">
    <w:name w:val="List Table 6 Colorful"/>
    <w:basedOn w:val="31"/>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FFFFFF" w:fill="BEBEBE" w:themeFill="text1" w:themeFillTint="40"/>
      </w:tcPr>
    </w:tblStylePr>
    <w:tblStylePr w:type="band1Horz">
      <w:rPr>
        <w:rFonts w:ascii="Arial" w:hAnsi="Arial"/>
        <w:color w:val="000000" w:themeColor="text1"/>
        <w:sz w:val="22"/>
        <w14:textFill>
          <w14:solidFill>
            <w14:schemeClr w14:val="tx1"/>
          </w14:solidFill>
        </w14:textFill>
      </w:rPr>
      <w:tcPr>
        <w:shd w:val="clear" w:color="FFFFFF"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8">
    <w:name w:val="List Table 6 Colorful - Accent 1"/>
    <w:basedOn w:val="31"/>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FFFFFF" w:fill="D5E5F4" w:themeFill="accent1" w:themeFillTint="40"/>
      </w:tcPr>
    </w:tblStylePr>
    <w:tblStylePr w:type="band1Horz">
      <w:rPr>
        <w:rFonts w:ascii="Arial" w:hAnsi="Arial"/>
        <w:color w:val="245B8C" w:themeColor="accent1" w:themeShade="94"/>
        <w:sz w:val="22"/>
      </w:rPr>
      <w:tcPr>
        <w:shd w:val="clear" w:color="FFFFFF" w:fill="D5E5F4" w:themeFill="accent1" w:themeFillTint="40"/>
      </w:tcPr>
    </w:tblStylePr>
    <w:tblStylePr w:type="band2Horz">
      <w:rPr>
        <w:rFonts w:ascii="Arial" w:hAnsi="Arial"/>
        <w:color w:val="245B8C" w:themeColor="accent1" w:themeShade="94"/>
        <w:sz w:val="22"/>
      </w:rPr>
    </w:tblStylePr>
  </w:style>
  <w:style w:type="table" w:customStyle="1" w:styleId="149">
    <w:name w:val="List Table 6 Colorful - Accent 2"/>
    <w:basedOn w:val="31"/>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FFFFF"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FFFFF"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50">
    <w:name w:val="List Table 6 Colorful - Accent 3"/>
    <w:basedOn w:val="31"/>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FFFFFF"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FFFFFF"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51">
    <w:name w:val="List Table 6 Colorful - Accent 4"/>
    <w:basedOn w:val="31"/>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FFFF"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FFFF"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52">
    <w:name w:val="List Table 6 Colorful - Accent 5"/>
    <w:basedOn w:val="31"/>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FFFFFF"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FFFFFF"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53">
    <w:name w:val="List Table 6 Colorful - Accent 6"/>
    <w:basedOn w:val="31"/>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FFFFFF"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FFFFFF"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54">
    <w:name w:val="List Table 7 Colorful"/>
    <w:basedOn w:val="31"/>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FFFFFF"/>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FFFFFF"/>
      </w:tcPr>
    </w:tblStylePr>
    <w:tblStylePr w:type="band1Vert">
      <w:tcPr>
        <w:shd w:val="clear" w:color="FFFFFF"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FFFFF"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5">
    <w:name w:val="List Table 7 Colorful - Accent 1"/>
    <w:basedOn w:val="31"/>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FFFFFF"/>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FFFFFF"/>
      </w:tcPr>
    </w:tblStylePr>
    <w:tblStylePr w:type="band1Vert">
      <w:tcPr>
        <w:shd w:val="clear" w:color="FFFFFF" w:fill="D5E5F4" w:themeFill="accent1" w:themeFillTint="40"/>
      </w:tcPr>
    </w:tblStylePr>
    <w:tblStylePr w:type="band1Horz">
      <w:rPr>
        <w:rFonts w:ascii="Arial" w:hAnsi="Arial"/>
        <w:color w:val="245B8C" w:themeColor="accent1" w:themeShade="94"/>
        <w:sz w:val="22"/>
      </w:rPr>
      <w:tcPr>
        <w:shd w:val="clear" w:color="FFFFFF" w:fill="D5E5F4" w:themeFill="accent1" w:themeFillTint="40"/>
      </w:tcPr>
    </w:tblStylePr>
    <w:tblStylePr w:type="band2Horz">
      <w:rPr>
        <w:rFonts w:ascii="Arial" w:hAnsi="Arial"/>
        <w:color w:val="245B8C" w:themeColor="accent1" w:themeShade="94"/>
        <w:sz w:val="22"/>
      </w:rPr>
    </w:tblStylePr>
  </w:style>
  <w:style w:type="table" w:customStyle="1" w:styleId="156">
    <w:name w:val="List Table 7 Colorful - Accent 2"/>
    <w:basedOn w:val="31"/>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FFFFFF"/>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FFFFFF"/>
      </w:tcPr>
    </w:tblStylePr>
    <w:tblStylePr w:type="band1Vert">
      <w:tcPr>
        <w:shd w:val="clear" w:color="FFFFFF"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FFFFF"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57">
    <w:name w:val="List Table 7 Colorful - Accent 3"/>
    <w:basedOn w:val="31"/>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FFFFFF"/>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FFFFFF"/>
      </w:tcPr>
    </w:tblStylePr>
    <w:tblStylePr w:type="band1Vert">
      <w:tcPr>
        <w:shd w:val="clear" w:color="FFFFFF"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FFFFFF"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58">
    <w:name w:val="List Table 7 Colorful - Accent 4"/>
    <w:basedOn w:val="31"/>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FFFFFF"/>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FFFFFF"/>
      </w:tcPr>
    </w:tblStylePr>
    <w:tblStylePr w:type="band1Vert">
      <w:tcPr>
        <w:shd w:val="clear" w:color="FFFFFF"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FFFF"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59">
    <w:name w:val="List Table 7 Colorful - Accent 5"/>
    <w:basedOn w:val="31"/>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FFFFFF"/>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FFFFFF"/>
      </w:tcPr>
    </w:tblStylePr>
    <w:tblStylePr w:type="band1Vert">
      <w:tcPr>
        <w:shd w:val="clear" w:color="FFFFFF"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FFFFFF"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60">
    <w:name w:val="List Table 7 Colorful - Accent 6"/>
    <w:basedOn w:val="31"/>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FFFFFF"/>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FFFFFF"/>
      </w:tcPr>
    </w:tblStylePr>
    <w:tblStylePr w:type="band1Vert">
      <w:tcPr>
        <w:shd w:val="clear" w:color="FFFFFF"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FFFFFF"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61">
    <w:name w:val="Lined - Accent"/>
    <w:basedOn w:val="31"/>
    <w:uiPriority w:val="99"/>
    <w:pPr>
      <w:spacing w:after="0" w:line="240" w:lineRule="auto"/>
    </w:pPr>
    <w:rPr>
      <w:color w:val="404040"/>
    </w:rPr>
    <w:tblPr/>
    <w:tblStylePr w:type="firstRow">
      <w:rPr>
        <w:rFonts w:ascii="Arial" w:hAnsi="Arial"/>
        <w:color w:val="F2F2F2"/>
        <w:sz w:val="22"/>
      </w:rPr>
      <w:tcPr>
        <w:shd w:val="clear" w:color="FFFFFF" w:fill="7E7E7E" w:themeFill="text1" w:themeFillTint="80"/>
      </w:tcPr>
    </w:tblStylePr>
    <w:tblStylePr w:type="lastRow">
      <w:rPr>
        <w:rFonts w:ascii="Arial" w:hAnsi="Arial"/>
        <w:color w:val="F2F2F2"/>
        <w:sz w:val="22"/>
      </w:rPr>
      <w:tcPr>
        <w:shd w:val="clear" w:color="FFFFFF" w:fill="7E7E7E" w:themeFill="text1" w:themeFillTint="80"/>
      </w:tcPr>
    </w:tblStylePr>
    <w:tblStylePr w:type="firstCol">
      <w:rPr>
        <w:rFonts w:ascii="Arial" w:hAnsi="Arial"/>
        <w:color w:val="F2F2F2"/>
        <w:sz w:val="22"/>
      </w:rPr>
      <w:tcPr>
        <w:shd w:val="clear" w:color="FFFFFF" w:fill="7E7E7E" w:themeFill="text1" w:themeFillTint="80"/>
      </w:tcPr>
    </w:tblStylePr>
    <w:tblStylePr w:type="lastCol">
      <w:rPr>
        <w:rFonts w:ascii="Arial" w:hAnsi="Arial"/>
        <w:color w:val="F2F2F2"/>
        <w:sz w:val="22"/>
      </w:rPr>
      <w:tcPr>
        <w:shd w:val="clear" w:color="FFFFFF"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FFFFF"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FFFFF" w:fill="F1F1F1" w:themeFill="text1" w:themeFillTint="0D"/>
      </w:tcPr>
    </w:tblStylePr>
  </w:style>
  <w:style w:type="table" w:customStyle="1" w:styleId="162">
    <w:name w:val="Lined - Accent 1"/>
    <w:basedOn w:val="31"/>
    <w:uiPriority w:val="99"/>
    <w:pPr>
      <w:spacing w:after="0" w:line="240" w:lineRule="auto"/>
    </w:pPr>
    <w:rPr>
      <w:color w:val="404040"/>
    </w:rPr>
    <w:tblPr/>
    <w:tblStylePr w:type="firstRow">
      <w:rPr>
        <w:rFonts w:ascii="Arial" w:hAnsi="Arial"/>
        <w:color w:val="F2F2F2"/>
        <w:sz w:val="22"/>
      </w:rPr>
      <w:tcPr>
        <w:shd w:val="clear" w:color="FFFFFF" w:fill="68A3D8" w:themeFill="accent1" w:themeFillTint="EA"/>
      </w:tcPr>
    </w:tblStylePr>
    <w:tblStylePr w:type="lastRow">
      <w:rPr>
        <w:rFonts w:ascii="Arial" w:hAnsi="Arial"/>
        <w:color w:val="F2F2F2"/>
        <w:sz w:val="22"/>
      </w:rPr>
      <w:tcPr>
        <w:shd w:val="clear" w:color="FFFFFF" w:fill="68A3D8" w:themeFill="accent1" w:themeFillTint="EA"/>
      </w:tcPr>
    </w:tblStylePr>
    <w:tblStylePr w:type="firstCol">
      <w:rPr>
        <w:rFonts w:ascii="Arial" w:hAnsi="Arial"/>
        <w:color w:val="F2F2F2"/>
        <w:sz w:val="22"/>
      </w:rPr>
      <w:tcPr>
        <w:shd w:val="clear" w:color="FFFFFF" w:fill="68A3D8" w:themeFill="accent1" w:themeFillTint="EA"/>
      </w:tcPr>
    </w:tblStylePr>
    <w:tblStylePr w:type="lastCol">
      <w:rPr>
        <w:rFonts w:ascii="Arial" w:hAnsi="Arial"/>
        <w:color w:val="F2F2F2"/>
        <w:sz w:val="22"/>
      </w:rPr>
      <w:tcPr>
        <w:shd w:val="clear" w:color="FFFFFF"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FFFFFF" w:fill="CBDFF1" w:themeFill="accent1" w:themeFillTint="50"/>
      </w:tcPr>
    </w:tblStylePr>
  </w:style>
  <w:style w:type="table" w:customStyle="1" w:styleId="163">
    <w:name w:val="Lined - Accent 2"/>
    <w:basedOn w:val="31"/>
    <w:uiPriority w:val="99"/>
    <w:pPr>
      <w:spacing w:after="0" w:line="240" w:lineRule="auto"/>
    </w:pPr>
    <w:rPr>
      <w:color w:val="404040"/>
    </w:rPr>
    <w:tblPr/>
    <w:tblStylePr w:type="firstRow">
      <w:rPr>
        <w:rFonts w:ascii="Arial" w:hAnsi="Arial"/>
        <w:color w:val="F2F2F2"/>
        <w:sz w:val="22"/>
      </w:rPr>
      <w:tcPr>
        <w:shd w:val="clear" w:color="FFFFFF" w:fill="F4B285" w:themeFill="accent2" w:themeFillTint="97"/>
      </w:tcPr>
    </w:tblStylePr>
    <w:tblStylePr w:type="lastRow">
      <w:rPr>
        <w:rFonts w:ascii="Arial" w:hAnsi="Arial"/>
        <w:color w:val="F2F2F2"/>
        <w:sz w:val="22"/>
      </w:rPr>
      <w:tcPr>
        <w:shd w:val="clear" w:color="FFFFFF" w:fill="F4B285" w:themeFill="accent2" w:themeFillTint="97"/>
      </w:tcPr>
    </w:tblStylePr>
    <w:tblStylePr w:type="firstCol">
      <w:rPr>
        <w:rFonts w:ascii="Arial" w:hAnsi="Arial"/>
        <w:color w:val="F2F2F2"/>
        <w:sz w:val="22"/>
      </w:rPr>
      <w:tcPr>
        <w:shd w:val="clear" w:color="FFFFFF" w:fill="F4B285" w:themeFill="accent2" w:themeFillTint="97"/>
      </w:tcPr>
    </w:tblStylePr>
    <w:tblStylePr w:type="lastCol">
      <w:rPr>
        <w:rFonts w:ascii="Arial" w:hAnsi="Arial"/>
        <w:color w:val="F2F2F2"/>
        <w:sz w:val="22"/>
      </w:rPr>
      <w:tcPr>
        <w:shd w:val="clear" w:color="FFFFFF"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FFFFF" w:fill="FBE5D6" w:themeFill="accent2" w:themeFillTint="32"/>
      </w:tcPr>
    </w:tblStylePr>
  </w:style>
  <w:style w:type="table" w:customStyle="1" w:styleId="164">
    <w:name w:val="Lined - Accent 3"/>
    <w:basedOn w:val="31"/>
    <w:uiPriority w:val="99"/>
    <w:pPr>
      <w:spacing w:after="0" w:line="240" w:lineRule="auto"/>
    </w:pPr>
    <w:rPr>
      <w:color w:val="404040"/>
    </w:rPr>
    <w:tblPr/>
    <w:tblStylePr w:type="firstRow">
      <w:rPr>
        <w:rFonts w:ascii="Arial" w:hAnsi="Arial"/>
        <w:color w:val="F2F2F2"/>
        <w:sz w:val="22"/>
      </w:rPr>
      <w:tcPr>
        <w:shd w:val="clear" w:color="FFFFFF" w:fill="A5A5A5" w:themeFill="accent3" w:themeFillTint="FE"/>
      </w:tcPr>
    </w:tblStylePr>
    <w:tblStylePr w:type="lastRow">
      <w:rPr>
        <w:rFonts w:ascii="Arial" w:hAnsi="Arial"/>
        <w:color w:val="F2F2F2"/>
        <w:sz w:val="22"/>
      </w:rPr>
      <w:tcPr>
        <w:shd w:val="clear" w:color="FFFFFF" w:fill="A5A5A5" w:themeFill="accent3" w:themeFillTint="FE"/>
      </w:tcPr>
    </w:tblStylePr>
    <w:tblStylePr w:type="firstCol">
      <w:rPr>
        <w:rFonts w:ascii="Arial" w:hAnsi="Arial"/>
        <w:color w:val="F2F2F2"/>
        <w:sz w:val="22"/>
      </w:rPr>
      <w:tcPr>
        <w:shd w:val="clear" w:color="FFFFFF" w:fill="A5A5A5" w:themeFill="accent3" w:themeFillTint="FE"/>
      </w:tcPr>
    </w:tblStylePr>
    <w:tblStylePr w:type="lastCol">
      <w:rPr>
        <w:rFonts w:ascii="Arial" w:hAnsi="Arial"/>
        <w:color w:val="F2F2F2"/>
        <w:sz w:val="22"/>
      </w:r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CECEC" w:themeFill="accent3" w:themeFillTint="34"/>
      </w:tcPr>
    </w:tblStylePr>
  </w:style>
  <w:style w:type="table" w:customStyle="1" w:styleId="165">
    <w:name w:val="Lined - Accent 4"/>
    <w:basedOn w:val="31"/>
    <w:uiPriority w:val="99"/>
    <w:pPr>
      <w:spacing w:after="0" w:line="240" w:lineRule="auto"/>
    </w:pPr>
    <w:rPr>
      <w:color w:val="404040"/>
    </w:rPr>
    <w:tblPr/>
    <w:tblStylePr w:type="firstRow">
      <w:rPr>
        <w:rFonts w:ascii="Arial" w:hAnsi="Arial"/>
        <w:color w:val="F2F2F2"/>
        <w:sz w:val="22"/>
      </w:rPr>
      <w:tcPr>
        <w:shd w:val="clear" w:color="FFFFFF" w:fill="FFD864" w:themeFill="accent4" w:themeFillTint="9A"/>
      </w:tcPr>
    </w:tblStylePr>
    <w:tblStylePr w:type="lastRow">
      <w:rPr>
        <w:rFonts w:ascii="Arial" w:hAnsi="Arial"/>
        <w:color w:val="F2F2F2"/>
        <w:sz w:val="22"/>
      </w:rPr>
      <w:tcPr>
        <w:shd w:val="clear" w:color="FFFFFF" w:fill="FFD864" w:themeFill="accent4" w:themeFillTint="9A"/>
      </w:tcPr>
    </w:tblStylePr>
    <w:tblStylePr w:type="firstCol">
      <w:rPr>
        <w:rFonts w:ascii="Arial" w:hAnsi="Arial"/>
        <w:color w:val="F2F2F2"/>
        <w:sz w:val="22"/>
      </w:rPr>
      <w:tcPr>
        <w:shd w:val="clear" w:color="FFFFFF" w:fill="FFD864" w:themeFill="accent4" w:themeFillTint="9A"/>
      </w:tcPr>
    </w:tblStylePr>
    <w:tblStylePr w:type="lastCol">
      <w:rPr>
        <w:rFonts w:ascii="Arial" w:hAnsi="Arial"/>
        <w:color w:val="F2F2F2"/>
        <w:sz w:val="22"/>
      </w:rPr>
      <w:tcPr>
        <w:shd w:val="clear" w:color="FFFFFF"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FFFFF"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FEF2CA" w:themeFill="accent4" w:themeFillTint="34"/>
      </w:tcPr>
    </w:tblStylePr>
  </w:style>
  <w:style w:type="table" w:customStyle="1" w:styleId="166">
    <w:name w:val="Lined - Accent 5"/>
    <w:basedOn w:val="31"/>
    <w:uiPriority w:val="99"/>
    <w:pPr>
      <w:spacing w:after="0" w:line="240" w:lineRule="auto"/>
    </w:pPr>
    <w:rPr>
      <w:color w:val="404040"/>
    </w:rPr>
    <w:tblPr/>
    <w:tblStylePr w:type="firstRow">
      <w:rPr>
        <w:rFonts w:ascii="Arial" w:hAnsi="Arial"/>
        <w:color w:val="F2F2F2"/>
        <w:sz w:val="22"/>
      </w:rPr>
      <w:tcPr>
        <w:shd w:val="clear" w:color="FFFFFF" w:fill="4472C4" w:themeFill="accent5"/>
      </w:tcPr>
    </w:tblStylePr>
    <w:tblStylePr w:type="lastRow">
      <w:rPr>
        <w:rFonts w:ascii="Arial" w:hAnsi="Arial"/>
        <w:color w:val="F2F2F2"/>
        <w:sz w:val="22"/>
      </w:rPr>
      <w:tcPr>
        <w:shd w:val="clear" w:color="FFFFFF" w:fill="4472C4" w:themeFill="accent5"/>
      </w:tcPr>
    </w:tblStylePr>
    <w:tblStylePr w:type="firstCol">
      <w:rPr>
        <w:rFonts w:ascii="Arial" w:hAnsi="Arial"/>
        <w:color w:val="F2F2F2"/>
        <w:sz w:val="22"/>
      </w:rPr>
      <w:tcPr>
        <w:shd w:val="clear" w:color="FFFFFF" w:fill="4472C4" w:themeFill="accent5"/>
      </w:tcPr>
    </w:tblStylePr>
    <w:tblStylePr w:type="lastCol">
      <w:rPr>
        <w:rFonts w:ascii="Arial" w:hAnsi="Arial"/>
        <w:color w:val="F2F2F2"/>
        <w:sz w:val="22"/>
      </w:r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FFFFFF"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D8E2F2" w:themeFill="accent5" w:themeFillTint="34"/>
      </w:tcPr>
    </w:tblStylePr>
  </w:style>
  <w:style w:type="table" w:customStyle="1" w:styleId="167">
    <w:name w:val="Lined - Accent 6"/>
    <w:basedOn w:val="31"/>
    <w:uiPriority w:val="99"/>
    <w:pPr>
      <w:spacing w:after="0" w:line="240" w:lineRule="auto"/>
    </w:pPr>
    <w:rPr>
      <w:color w:val="404040"/>
    </w:rPr>
    <w:tblPr/>
    <w:tblStylePr w:type="firstRow">
      <w:rPr>
        <w:rFonts w:ascii="Arial" w:hAnsi="Arial"/>
        <w:color w:val="F2F2F2"/>
        <w:sz w:val="22"/>
      </w:rPr>
      <w:tcPr>
        <w:shd w:val="clear" w:color="FFFFFF" w:fill="70AD47" w:themeFill="accent6"/>
      </w:tcPr>
    </w:tblStylePr>
    <w:tblStylePr w:type="lastRow">
      <w:rPr>
        <w:rFonts w:ascii="Arial" w:hAnsi="Arial"/>
        <w:color w:val="F2F2F2"/>
        <w:sz w:val="22"/>
      </w:rPr>
      <w:tcPr>
        <w:shd w:val="clear" w:color="FFFFFF" w:fill="70AD47" w:themeFill="accent6"/>
      </w:tcPr>
    </w:tblStylePr>
    <w:tblStylePr w:type="firstCol">
      <w:rPr>
        <w:rFonts w:ascii="Arial" w:hAnsi="Arial"/>
        <w:color w:val="F2F2F2"/>
        <w:sz w:val="22"/>
      </w:rPr>
      <w:tcPr>
        <w:shd w:val="clear" w:color="FFFFFF" w:fill="70AD47" w:themeFill="accent6"/>
      </w:tcPr>
    </w:tblStylePr>
    <w:tblStylePr w:type="lastCol">
      <w:rPr>
        <w:rFonts w:ascii="Arial" w:hAnsi="Arial"/>
        <w:color w:val="F2F2F2"/>
        <w:sz w:val="22"/>
      </w:r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1EFD8" w:themeFill="accent6" w:themeFillTint="34"/>
      </w:tcPr>
    </w:tblStylePr>
  </w:style>
  <w:style w:type="table" w:customStyle="1" w:styleId="168">
    <w:name w:val="Bordered &amp; Lined - Accent"/>
    <w:basedOn w:val="31"/>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FFFFFF" w:fill="7E7E7E" w:themeFill="text1" w:themeFillTint="80"/>
      </w:tcPr>
    </w:tblStylePr>
    <w:tblStylePr w:type="lastRow">
      <w:rPr>
        <w:rFonts w:ascii="Arial" w:hAnsi="Arial"/>
        <w:color w:val="F2F2F2"/>
        <w:sz w:val="22"/>
      </w:rPr>
      <w:tcPr>
        <w:shd w:val="clear" w:color="FFFFFF" w:fill="7E7E7E" w:themeFill="text1" w:themeFillTint="80"/>
      </w:tcPr>
    </w:tblStylePr>
    <w:tblStylePr w:type="firstCol">
      <w:rPr>
        <w:rFonts w:ascii="Arial" w:hAnsi="Arial"/>
        <w:color w:val="F2F2F2"/>
        <w:sz w:val="22"/>
      </w:rPr>
      <w:tcPr>
        <w:shd w:val="clear" w:color="FFFFFF" w:fill="7E7E7E" w:themeFill="text1" w:themeFillTint="80"/>
      </w:tcPr>
    </w:tblStylePr>
    <w:tblStylePr w:type="lastCol">
      <w:rPr>
        <w:rFonts w:ascii="Arial" w:hAnsi="Arial"/>
        <w:color w:val="F2F2F2"/>
        <w:sz w:val="22"/>
      </w:rPr>
      <w:tcPr>
        <w:shd w:val="clear" w:color="FFFFFF"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FFFFF"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FFFFF" w:fill="F1F1F1" w:themeFill="text1" w:themeFillTint="0D"/>
      </w:tcPr>
    </w:tblStylePr>
  </w:style>
  <w:style w:type="table" w:customStyle="1" w:styleId="169">
    <w:name w:val="Bordered &amp; Lined - Accent 1"/>
    <w:basedOn w:val="31"/>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FFFFFF" w:fill="68A3D8" w:themeFill="accent1" w:themeFillTint="EA"/>
      </w:tcPr>
    </w:tblStylePr>
    <w:tblStylePr w:type="lastRow">
      <w:rPr>
        <w:rFonts w:ascii="Arial" w:hAnsi="Arial"/>
        <w:color w:val="F2F2F2"/>
        <w:sz w:val="22"/>
      </w:rPr>
      <w:tcPr>
        <w:shd w:val="clear" w:color="FFFFFF" w:fill="68A3D8" w:themeFill="accent1" w:themeFillTint="EA"/>
      </w:tcPr>
    </w:tblStylePr>
    <w:tblStylePr w:type="firstCol">
      <w:rPr>
        <w:rFonts w:ascii="Arial" w:hAnsi="Arial"/>
        <w:color w:val="F2F2F2"/>
        <w:sz w:val="22"/>
      </w:rPr>
      <w:tcPr>
        <w:shd w:val="clear" w:color="FFFFFF" w:fill="68A3D8" w:themeFill="accent1" w:themeFillTint="EA"/>
      </w:tcPr>
    </w:tblStylePr>
    <w:tblStylePr w:type="lastCol">
      <w:rPr>
        <w:rFonts w:ascii="Arial" w:hAnsi="Arial"/>
        <w:color w:val="F2F2F2"/>
        <w:sz w:val="22"/>
      </w:rPr>
      <w:tcPr>
        <w:shd w:val="clear" w:color="FFFFFF"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FFFFFF" w:fill="CBDFF1" w:themeFill="accent1" w:themeFillTint="50"/>
      </w:tcPr>
    </w:tblStylePr>
  </w:style>
  <w:style w:type="table" w:customStyle="1" w:styleId="170">
    <w:name w:val="Bordered &amp; Lined - Accent 2"/>
    <w:basedOn w:val="31"/>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FFFFF" w:fill="F4B285" w:themeFill="accent2" w:themeFillTint="97"/>
      </w:tcPr>
    </w:tblStylePr>
    <w:tblStylePr w:type="lastRow">
      <w:rPr>
        <w:rFonts w:ascii="Arial" w:hAnsi="Arial"/>
        <w:color w:val="F2F2F2"/>
        <w:sz w:val="22"/>
      </w:rPr>
      <w:tcPr>
        <w:shd w:val="clear" w:color="FFFFFF" w:fill="F4B285" w:themeFill="accent2" w:themeFillTint="97"/>
      </w:tcPr>
    </w:tblStylePr>
    <w:tblStylePr w:type="firstCol">
      <w:rPr>
        <w:rFonts w:ascii="Arial" w:hAnsi="Arial"/>
        <w:color w:val="F2F2F2"/>
        <w:sz w:val="22"/>
      </w:rPr>
      <w:tcPr>
        <w:shd w:val="clear" w:color="FFFFFF" w:fill="F4B285" w:themeFill="accent2" w:themeFillTint="97"/>
      </w:tcPr>
    </w:tblStylePr>
    <w:tblStylePr w:type="lastCol">
      <w:rPr>
        <w:rFonts w:ascii="Arial" w:hAnsi="Arial"/>
        <w:color w:val="F2F2F2"/>
        <w:sz w:val="22"/>
      </w:rPr>
      <w:tcPr>
        <w:shd w:val="clear" w:color="FFFFFF"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FFFFF" w:fill="FBE5D6" w:themeFill="accent2" w:themeFillTint="32"/>
      </w:tcPr>
    </w:tblStylePr>
  </w:style>
  <w:style w:type="table" w:customStyle="1" w:styleId="171">
    <w:name w:val="Bordered &amp; Lined - Accent 3"/>
    <w:basedOn w:val="31"/>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FFFFFF" w:fill="A5A5A5" w:themeFill="accent3" w:themeFillTint="FE"/>
      </w:tcPr>
    </w:tblStylePr>
    <w:tblStylePr w:type="lastRow">
      <w:rPr>
        <w:rFonts w:ascii="Arial" w:hAnsi="Arial"/>
        <w:color w:val="F2F2F2"/>
        <w:sz w:val="22"/>
      </w:rPr>
      <w:tcPr>
        <w:shd w:val="clear" w:color="FFFFFF" w:fill="A5A5A5" w:themeFill="accent3" w:themeFillTint="FE"/>
      </w:tcPr>
    </w:tblStylePr>
    <w:tblStylePr w:type="firstCol">
      <w:rPr>
        <w:rFonts w:ascii="Arial" w:hAnsi="Arial"/>
        <w:color w:val="F2F2F2"/>
        <w:sz w:val="22"/>
      </w:rPr>
      <w:tcPr>
        <w:shd w:val="clear" w:color="FFFFFF" w:fill="A5A5A5" w:themeFill="accent3" w:themeFillTint="FE"/>
      </w:tcPr>
    </w:tblStylePr>
    <w:tblStylePr w:type="lastCol">
      <w:rPr>
        <w:rFonts w:ascii="Arial" w:hAnsi="Arial"/>
        <w:color w:val="F2F2F2"/>
        <w:sz w:val="22"/>
      </w:r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CECEC" w:themeFill="accent3" w:themeFillTint="34"/>
      </w:tcPr>
    </w:tblStylePr>
  </w:style>
  <w:style w:type="table" w:customStyle="1" w:styleId="172">
    <w:name w:val="Bordered &amp; Lined - Accent 4"/>
    <w:basedOn w:val="31"/>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FFFF" w:fill="FFD864" w:themeFill="accent4" w:themeFillTint="9A"/>
      </w:tcPr>
    </w:tblStylePr>
    <w:tblStylePr w:type="lastRow">
      <w:rPr>
        <w:rFonts w:ascii="Arial" w:hAnsi="Arial"/>
        <w:color w:val="F2F2F2"/>
        <w:sz w:val="22"/>
      </w:rPr>
      <w:tcPr>
        <w:shd w:val="clear" w:color="FFFFFF" w:fill="FFD864" w:themeFill="accent4" w:themeFillTint="9A"/>
      </w:tcPr>
    </w:tblStylePr>
    <w:tblStylePr w:type="firstCol">
      <w:rPr>
        <w:rFonts w:ascii="Arial" w:hAnsi="Arial"/>
        <w:color w:val="F2F2F2"/>
        <w:sz w:val="22"/>
      </w:rPr>
      <w:tcPr>
        <w:shd w:val="clear" w:color="FFFFFF" w:fill="FFD864" w:themeFill="accent4" w:themeFillTint="9A"/>
      </w:tcPr>
    </w:tblStylePr>
    <w:tblStylePr w:type="lastCol">
      <w:rPr>
        <w:rFonts w:ascii="Arial" w:hAnsi="Arial"/>
        <w:color w:val="F2F2F2"/>
        <w:sz w:val="22"/>
      </w:rPr>
      <w:tcPr>
        <w:shd w:val="clear" w:color="FFFFFF"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FFFFF"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FEF2CA" w:themeFill="accent4" w:themeFillTint="34"/>
      </w:tcPr>
    </w:tblStylePr>
  </w:style>
  <w:style w:type="table" w:customStyle="1" w:styleId="173">
    <w:name w:val="Bordered &amp; Lined - Accent 5"/>
    <w:basedOn w:val="31"/>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FFFFFF" w:fill="4472C4" w:themeFill="accent5"/>
      </w:tcPr>
    </w:tblStylePr>
    <w:tblStylePr w:type="lastRow">
      <w:rPr>
        <w:rFonts w:ascii="Arial" w:hAnsi="Arial"/>
        <w:color w:val="F2F2F2"/>
        <w:sz w:val="22"/>
      </w:rPr>
      <w:tcPr>
        <w:shd w:val="clear" w:color="FFFFFF" w:fill="4472C4" w:themeFill="accent5"/>
      </w:tcPr>
    </w:tblStylePr>
    <w:tblStylePr w:type="firstCol">
      <w:rPr>
        <w:rFonts w:ascii="Arial" w:hAnsi="Arial"/>
        <w:color w:val="F2F2F2"/>
        <w:sz w:val="22"/>
      </w:rPr>
      <w:tcPr>
        <w:shd w:val="clear" w:color="FFFFFF" w:fill="4472C4" w:themeFill="accent5"/>
      </w:tcPr>
    </w:tblStylePr>
    <w:tblStylePr w:type="lastCol">
      <w:rPr>
        <w:rFonts w:ascii="Arial" w:hAnsi="Arial"/>
        <w:color w:val="F2F2F2"/>
        <w:sz w:val="22"/>
      </w:r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FFFFFF"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D8E2F2" w:themeFill="accent5" w:themeFillTint="34"/>
      </w:tcPr>
    </w:tblStylePr>
  </w:style>
  <w:style w:type="table" w:customStyle="1" w:styleId="174">
    <w:name w:val="Bordered &amp; Lined - Accent 6"/>
    <w:basedOn w:val="31"/>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FFFFFF" w:fill="70AD47" w:themeFill="accent6"/>
      </w:tcPr>
    </w:tblStylePr>
    <w:tblStylePr w:type="lastRow">
      <w:rPr>
        <w:rFonts w:ascii="Arial" w:hAnsi="Arial"/>
        <w:color w:val="F2F2F2"/>
        <w:sz w:val="22"/>
      </w:rPr>
      <w:tcPr>
        <w:shd w:val="clear" w:color="FFFFFF" w:fill="70AD47" w:themeFill="accent6"/>
      </w:tcPr>
    </w:tblStylePr>
    <w:tblStylePr w:type="firstCol">
      <w:rPr>
        <w:rFonts w:ascii="Arial" w:hAnsi="Arial"/>
        <w:color w:val="F2F2F2"/>
        <w:sz w:val="22"/>
      </w:rPr>
      <w:tcPr>
        <w:shd w:val="clear" w:color="FFFFFF" w:fill="70AD47" w:themeFill="accent6"/>
      </w:tcPr>
    </w:tblStylePr>
    <w:tblStylePr w:type="lastCol">
      <w:rPr>
        <w:rFonts w:ascii="Arial" w:hAnsi="Arial"/>
        <w:color w:val="F2F2F2"/>
        <w:sz w:val="22"/>
      </w:r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1EFD8" w:themeFill="accent6" w:themeFillTint="34"/>
      </w:tcPr>
    </w:tblStylePr>
  </w:style>
  <w:style w:type="table" w:customStyle="1" w:styleId="175">
    <w:name w:val="Bordered"/>
    <w:basedOn w:val="31"/>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6">
    <w:name w:val="Bordered - Accent 1"/>
    <w:basedOn w:val="31"/>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77">
    <w:name w:val="Bordered - Accent 2"/>
    <w:basedOn w:val="31"/>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78">
    <w:name w:val="Bordered - Accent 3"/>
    <w:basedOn w:val="31"/>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79">
    <w:name w:val="Bordered - Accent 4"/>
    <w:basedOn w:val="31"/>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80">
    <w:name w:val="Bordered - Accent 5"/>
    <w:basedOn w:val="31"/>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81">
    <w:name w:val="Bordered - Accent 6"/>
    <w:basedOn w:val="31"/>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182">
    <w:name w:val="Footnote Text Char"/>
    <w:link w:val="26"/>
    <w:uiPriority w:val="99"/>
    <w:rPr>
      <w:sz w:val="18"/>
    </w:rPr>
  </w:style>
  <w:style w:type="character" w:customStyle="1" w:styleId="183">
    <w:name w:val="Endnote Text Char"/>
    <w:link w:val="19"/>
    <w:uiPriority w:val="99"/>
    <w:rPr>
      <w:sz w:val="20"/>
    </w:rPr>
  </w:style>
  <w:style w:type="paragraph" w:customStyle="1" w:styleId="184">
    <w:name w:val="TOC Heading"/>
    <w:unhideWhenUsed/>
    <w:uiPriority w:val="39"/>
    <w:rPr>
      <w:rFonts w:ascii="Times New Roman" w:hAnsi="Times New Roman" w:eastAsia="宋体" w:cs="Times New Roman"/>
    </w:rPr>
  </w:style>
  <w:style w:type="character" w:customStyle="1" w:styleId="185">
    <w:name w:val="标题 1 字符"/>
    <w:link w:val="2"/>
    <w:uiPriority w:val="0"/>
    <w:rPr>
      <w:b/>
      <w:bCs/>
      <w:sz w:val="28"/>
      <w:szCs w:val="28"/>
    </w:rPr>
  </w:style>
  <w:style w:type="character" w:customStyle="1" w:styleId="186">
    <w:name w:val="标题 2 字符"/>
    <w:link w:val="4"/>
    <w:uiPriority w:val="0"/>
    <w:rPr>
      <w:rFonts w:ascii="宋体" w:cs="Arial"/>
      <w:b/>
      <w:bCs/>
      <w:iCs/>
      <w:color w:val="000000"/>
      <w:sz w:val="24"/>
      <w:szCs w:val="24"/>
    </w:rPr>
  </w:style>
  <w:style w:type="character" w:customStyle="1" w:styleId="187">
    <w:name w:val="页脚 字符"/>
    <w:link w:val="21"/>
    <w:uiPriority w:val="99"/>
    <w:rPr>
      <w:sz w:val="21"/>
      <w:szCs w:val="18"/>
      <w:lang w:val="en-GB"/>
    </w:rPr>
  </w:style>
  <w:style w:type="paragraph" w:customStyle="1" w:styleId="188">
    <w:name w:val="lj正文"/>
    <w:qFormat/>
    <w:uiPriority w:val="0"/>
    <w:pPr>
      <w:shd w:val="clear" w:color="FFFFFF" w:fill="FFFFFF"/>
      <w:spacing w:line="360" w:lineRule="auto"/>
      <w:ind w:firstLine="200"/>
    </w:pPr>
    <w:rPr>
      <w:rFonts w:ascii="宋体" w:hAnsi="宋体" w:eastAsia="宋体" w:cs="Times New Roman"/>
      <w:color w:val="000000"/>
      <w:sz w:val="24"/>
      <w:szCs w:val="24"/>
    </w:rPr>
  </w:style>
  <w:style w:type="character" w:customStyle="1" w:styleId="189">
    <w:name w:val="正文缩进 字符"/>
    <w:link w:val="13"/>
    <w:uiPriority w:val="0"/>
    <w:rPr>
      <w:rFonts w:ascii="宋体"/>
      <w:sz w:val="21"/>
    </w:rPr>
  </w:style>
  <w:style w:type="paragraph" w:styleId="190">
    <w:name w:val="List Paragraph"/>
    <w:basedOn w:val="1"/>
    <w:qFormat/>
    <w:uiPriority w:val="34"/>
    <w:pPr>
      <w:spacing w:before="50" w:line="240" w:lineRule="auto"/>
      <w:ind w:left="420" w:firstLine="420"/>
      <w:jc w:val="both"/>
    </w:pPr>
    <w:rPr>
      <w:rFonts w:ascii="Calibri" w:hAnsi="Calibri"/>
      <w:sz w:val="22"/>
      <w:szCs w:val="22"/>
      <w:lang w:val="en-US"/>
    </w:rPr>
  </w:style>
  <w:style w:type="character" w:customStyle="1" w:styleId="191">
    <w:name w:val="标题 3 字符"/>
    <w:link w:val="5"/>
    <w:uiPriority w:val="0"/>
    <w:rPr>
      <w:rFonts w:ascii="宋体" w:hAnsi="宋体" w:cs="Arial"/>
      <w:b/>
      <w:bCs/>
      <w:sz w:val="21"/>
      <w:szCs w:val="21"/>
    </w:rPr>
  </w:style>
  <w:style w:type="character" w:customStyle="1" w:styleId="192">
    <w:name w:val="批注框文本 字符"/>
    <w:link w:val="20"/>
    <w:uiPriority w:val="0"/>
    <w:rPr>
      <w:sz w:val="18"/>
      <w:szCs w:val="18"/>
      <w:lang w:val="en-GB"/>
    </w:rPr>
  </w:style>
  <w:style w:type="character" w:styleId="193">
    <w:name w:val="Placeholder Text"/>
    <w:semiHidden/>
    <w:uiPriority w:val="99"/>
    <w:rPr>
      <w:color w:val="808080"/>
    </w:rPr>
  </w:style>
  <w:style w:type="paragraph" w:styleId="194">
    <w:name w:val="No Spacing"/>
    <w:qFormat/>
    <w:uiPriority w:val="1"/>
    <w:rPr>
      <w:rFonts w:ascii="Times New Roman" w:hAnsi="Times New Roman" w:eastAsia="宋体" w:cs="Times New Roman"/>
      <w:sz w:val="21"/>
      <w:lang w:val="en-GB"/>
    </w:rPr>
  </w:style>
  <w:style w:type="character" w:customStyle="1" w:styleId="195">
    <w:name w:val="标题 4 字符"/>
    <w:link w:val="6"/>
    <w:uiPriority w:val="0"/>
    <w:rPr>
      <w:b/>
      <w:bCs/>
      <w:sz w:val="21"/>
      <w:szCs w:val="28"/>
      <w:lang w:val="en-GB"/>
    </w:rPr>
  </w:style>
  <w:style w:type="character" w:customStyle="1" w:styleId="196">
    <w:name w:val="标题 5 字符"/>
    <w:link w:val="7"/>
    <w:uiPriority w:val="0"/>
    <w:rPr>
      <w:b/>
      <w:bCs/>
      <w:iCs/>
      <w:sz w:val="21"/>
      <w:szCs w:val="26"/>
      <w:lang w:val="en-GB"/>
    </w:rPr>
  </w:style>
  <w:style w:type="character" w:customStyle="1" w:styleId="197">
    <w:name w:val="标题 6 字符"/>
    <w:link w:val="8"/>
    <w:uiPriority w:val="0"/>
    <w:rPr>
      <w:b/>
      <w:bCs/>
      <w:sz w:val="21"/>
      <w:szCs w:val="22"/>
      <w:lang w:val="en-GB"/>
    </w:rPr>
  </w:style>
  <w:style w:type="character" w:customStyle="1" w:styleId="198">
    <w:name w:val="标题 7 字符"/>
    <w:link w:val="9"/>
    <w:uiPriority w:val="0"/>
    <w:rPr>
      <w:sz w:val="24"/>
      <w:szCs w:val="24"/>
      <w:lang w:val="en-GB"/>
    </w:rPr>
  </w:style>
  <w:style w:type="character" w:customStyle="1" w:styleId="199">
    <w:name w:val="标题 8 字符"/>
    <w:link w:val="10"/>
    <w:uiPriority w:val="0"/>
    <w:rPr>
      <w:i/>
      <w:iCs/>
      <w:sz w:val="24"/>
      <w:szCs w:val="24"/>
      <w:lang w:val="en-GB"/>
    </w:rPr>
  </w:style>
  <w:style w:type="character" w:customStyle="1" w:styleId="200">
    <w:name w:val="标题 9 字符"/>
    <w:link w:val="11"/>
    <w:uiPriority w:val="0"/>
    <w:rPr>
      <w:rFonts w:ascii="Arial" w:hAnsi="Arial" w:cs="Arial"/>
      <w:sz w:val="22"/>
      <w:szCs w:val="22"/>
      <w:lang w:val="en-GB"/>
    </w:rPr>
  </w:style>
  <w:style w:type="character" w:customStyle="1" w:styleId="201">
    <w:name w:val="页眉 字符"/>
    <w:link w:val="22"/>
    <w:uiPriority w:val="0"/>
    <w:rPr>
      <w:sz w:val="21"/>
      <w:szCs w:val="18"/>
      <w:lang w:val="en-GB"/>
    </w:rPr>
  </w:style>
  <w:style w:type="character" w:customStyle="1" w:styleId="202">
    <w:name w:val="文档结构图 字符"/>
    <w:link w:val="15"/>
    <w:semiHidden/>
    <w:uiPriority w:val="0"/>
    <w:rPr>
      <w:sz w:val="21"/>
      <w:shd w:val="clear" w:color="000080"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theme" Target="theme/theme1.xml"/><Relationship Id="rId79" Type="http://schemas.openxmlformats.org/officeDocument/2006/relationships/customXml" Target="../customXml/item1.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tmp6.dotx</Template>
  <Company>ths</Company>
  <TotalTime>1</TotalTime>
  <ScaleCrop>false</ScaleCrop>
  <LinksUpToDate>false</LinksUpToDate>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2022-01-03T09:02:00Z</dcterms:created>
  <dc:creator>viola'computer</dc:creator>
  <cp:lastModifiedBy>Wang Chaonan</cp:lastModifiedBy>
  <dcterms:modified xsi:type="dcterms:W3CDTF">2022-01-05T10:50:28Z</dcterms:modified>
  <dc:title>室外风环境模拟分析报告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650F53BED4E849D0A91D4D9E119D2E53</vt:lpwstr>
  </property>
</Properties>
</file>