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梦土上---生态青年公寓抗震设计报告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概述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本项目位于荆州护城河以南,北京西路与武德路交汇处，处于一个重要的交通枢纽附近，交通条件优越。基地前河流穿越，且周边有湖泊，环境优美，风景适宜，居住宜人。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z w:val="24"/>
          <w:szCs w:val="24"/>
        </w:rPr>
        <w:t>规范规定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抗震性能化设计仍然是以现有的抗震科学水平和经济条件为前提的, -般需要综合考虑使用功能、设防烈度、结构的不规则程度和类型、结构发挥延性变形的能力、造价、震后的各种损失及修复难度等等因素。不同的抗震设防类别，其性能设计要求也有所不同。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建筑的抗震性能化设计，立足于承载力和变形能力的综合考虑，具有很强的针对性和灵活性。针对具体工程的需要和可能，可以对整个结构、也可以对某些部位或关键构件，灵活运用各种措施达到预期的性能目标一着 重提高抗震安全性或满足使用功能的专门要求。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建筑抗 震设防分类和设防标准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抗震设防的所有建筑应按现行国家标准《建筑工程抗震设防分类标准》GB50223确定其抗震设防类别及其抗震设防标准。抗震设防烈度为6度时，除本规范有具体规定外，对乙、丙、丁类的建筑可不进行地震作用计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地震影响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建筑所在地区遭受的地震影响，应采用相应于抗震设防烈度的设计基本地震加速度和特征周期表征。抗震设防烈度和设计基本地震加速度取值的对应关系，应符合表3.2.2的规定。设计基本地震加速度为0.15g和0.30g地区内的建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8430" cy="1179830"/>
            <wp:effectExtent l="0" t="0" r="889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湖北省</w:t>
      </w:r>
      <w:r>
        <w:rPr>
          <w:rFonts w:ascii="宋体" w:hAnsi="宋体" w:eastAsia="宋体" w:cs="宋体"/>
          <w:sz w:val="24"/>
          <w:szCs w:val="24"/>
        </w:rPr>
        <w:t>抗震设防烈度、设计基本地震加速度和设计地震分组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numPr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43425" cy="2235200"/>
            <wp:effectExtent l="0" t="0" r="1333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3558" t="927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04360" cy="5189220"/>
            <wp:effectExtent l="0" t="0" r="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518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8F45C"/>
    <w:multiLevelType w:val="singleLevel"/>
    <w:tmpl w:val="E7E8F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5385"/>
    <w:rsid w:val="3F565385"/>
    <w:rsid w:val="508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563</Characters>
  <Lines>0</Lines>
  <Paragraphs>0</Paragraphs>
  <TotalTime>1</TotalTime>
  <ScaleCrop>false</ScaleCrop>
  <LinksUpToDate>false</LinksUpToDate>
  <CharactersWithSpaces>566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2022-03-11T07:03:00Z</dcterms:created>
  <dc:creator>丁丁丁</dc:creator>
  <cp:lastModifiedBy>丁丁丁</cp:lastModifiedBy>
  <dcterms:modified xsi:type="dcterms:W3CDTF">2022-03-11T07:20:27Z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813E7D2CDC5641F09B99FFD28646422F</vt:lpwstr>
  </property>
</Properties>
</file>