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荆州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2022年01月03日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"_Toc92117263"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_Toc92117263 \h </w:instrText>
      </w:r>
      <w:r>
        <w:fldChar w:fldCharType="separate"/>
      </w:r>
      <w:r>
        <w:t>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"_Toc92117264" </w:instrText>
      </w:r>
      <w:r>
        <w:fldChar w:fldCharType="separate"/>
      </w:r>
      <w:r>
        <w:rPr>
          <w:rStyle w:val="26"/>
          <w:lang w:val="en-GB"/>
        </w:rPr>
        <w:t>1.1</w:t>
      </w:r>
      <w:r>
        <w:rPr>
          <w:rFonts w:asciiTheme="minorHAnsi" w:hAnsiTheme="minorHAnsi" w:eastAsiaTheme="minorEastAsia" w:cstheme="minorBidi"/>
          <w:szCs w:val="22"/>
        </w:rPr>
        <w:tab/>
      </w:r>
      <w:r>
        <w:rPr>
          <w:rStyle w:val="26"/>
        </w:rPr>
        <w:t>总平面图</w:t>
      </w:r>
      <w:r>
        <w:tab/>
      </w:r>
      <w:r>
        <w:fldChar w:fldCharType="begin"/>
      </w:r>
      <w:r>
        <w:instrText xml:space="preserve"> PAGEREF _Toc92117264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"_Toc92117265"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_Toc92117265 \h </w:instrText>
      </w:r>
      <w:r>
        <w:fldChar w:fldCharType="separate"/>
      </w:r>
      <w:r>
        <w:t>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"_Toc92117266"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_Toc92117266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"_Toc92117267"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_Toc92117267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"_Toc92117268" </w:instrText>
      </w:r>
      <w:r>
        <w:fldChar w:fldCharType="separate"/>
      </w:r>
      <w:r>
        <w:rPr>
          <w:rStyle w:val="26"/>
        </w:rPr>
        <w:t>4</w:t>
      </w:r>
      <w:r>
        <w:rPr>
          <w:rFonts w:asciiTheme="minorHAnsi" w:hAnsiTheme="minorHAnsi" w:eastAsiaTheme="minorEastAsia" w:cstheme="minorBidi"/>
          <w:b w:val="0"/>
          <w:bCs w:val="0"/>
          <w:szCs w:val="22"/>
        </w:rPr>
        <w:tab/>
      </w:r>
      <w:r>
        <w:rPr>
          <w:rStyle w:val="26"/>
        </w:rPr>
        <w:t>计算原理</w:t>
      </w:r>
      <w:r>
        <w:tab/>
      </w:r>
      <w:r>
        <w:fldChar w:fldCharType="begin"/>
      </w:r>
      <w:r>
        <w:instrText xml:space="preserve"> PAGEREF _Toc92117268 \h </w:instrText>
      </w:r>
      <w:r>
        <w:fldChar w:fldCharType="separate"/>
      </w:r>
      <w:r>
        <w:t>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"_Toc92117269" </w:instrText>
      </w:r>
      <w:r>
        <w:fldChar w:fldCharType="separate"/>
      </w:r>
      <w:r>
        <w:rPr>
          <w:rStyle w:val="26"/>
          <w:lang w:val="en-GB"/>
        </w:rPr>
        <w:t>4.1</w:t>
      </w:r>
      <w:r>
        <w:rPr>
          <w:rFonts w:asciiTheme="minorHAnsi" w:hAnsiTheme="minorHAnsi" w:eastAsiaTheme="minorEastAsia" w:cstheme="minorBidi"/>
          <w:szCs w:val="22"/>
        </w:rPr>
        <w:tab/>
      </w:r>
      <w:r>
        <w:rPr>
          <w:rStyle w:val="26"/>
        </w:rPr>
        <w:t>风场计算域</w:t>
      </w:r>
      <w:r>
        <w:tab/>
      </w:r>
      <w:r>
        <w:fldChar w:fldCharType="begin"/>
      </w:r>
      <w:r>
        <w:instrText xml:space="preserve"> PAGEREF _Toc92117269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"_Toc92117270" </w:instrText>
      </w:r>
      <w:r>
        <w:fldChar w:fldCharType="separate"/>
      </w:r>
      <w:r>
        <w:rPr>
          <w:rStyle w:val="26"/>
          <w:lang w:val="en-GB"/>
        </w:rPr>
        <w:t>4.1.1</w:t>
      </w:r>
      <w:r>
        <w:rPr>
          <w:rFonts w:asciiTheme="minorHAnsi" w:hAnsiTheme="minorHAnsi" w:eastAsiaTheme="minorEastAsia" w:cstheme="minorBidi"/>
          <w:szCs w:val="22"/>
        </w:rPr>
        <w:tab/>
      </w:r>
      <w:r>
        <w:rPr>
          <w:rStyle w:val="26"/>
        </w:rPr>
        <w:t>冬季工况风场计算域</w:t>
      </w:r>
      <w:r>
        <w:tab/>
      </w:r>
      <w:r>
        <w:fldChar w:fldCharType="begin"/>
      </w:r>
      <w:r>
        <w:instrText xml:space="preserve"> PAGEREF _Toc92117270 \h </w:instrText>
      </w:r>
      <w:r>
        <w:fldChar w:fldCharType="separate"/>
      </w:r>
      <w:r>
        <w:t>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"_Toc92117271" </w:instrText>
      </w:r>
      <w:r>
        <w:fldChar w:fldCharType="separate"/>
      </w:r>
      <w:r>
        <w:rPr>
          <w:rStyle w:val="26"/>
          <w:lang w:val="en-GB"/>
        </w:rPr>
        <w:t>4.1.2</w:t>
      </w:r>
      <w:r>
        <w:rPr>
          <w:rFonts w:asciiTheme="minorHAnsi" w:hAnsiTheme="minorHAnsi" w:eastAsiaTheme="minorEastAsia" w:cstheme="minorBidi"/>
          <w:szCs w:val="22"/>
        </w:rPr>
        <w:tab/>
      </w:r>
      <w:r>
        <w:rPr>
          <w:rStyle w:val="26"/>
        </w:rPr>
        <w:t>夏季工况风场计算域</w:t>
      </w:r>
      <w:r>
        <w:tab/>
      </w:r>
      <w:r>
        <w:fldChar w:fldCharType="begin"/>
      </w:r>
      <w:r>
        <w:instrText xml:space="preserve"> PAGEREF _Toc92117271 \h </w:instrText>
      </w:r>
      <w:r>
        <w:fldChar w:fldCharType="separate"/>
      </w:r>
      <w:r>
        <w:t>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"_Toc92117272" </w:instrText>
      </w:r>
      <w:r>
        <w:fldChar w:fldCharType="separate"/>
      </w:r>
      <w:r>
        <w:rPr>
          <w:rStyle w:val="26"/>
          <w:lang w:val="en-GB"/>
        </w:rPr>
        <w:t>4.2</w:t>
      </w:r>
      <w:r>
        <w:rPr>
          <w:rFonts w:asciiTheme="minorHAnsi" w:hAnsiTheme="minorHAnsi" w:eastAsiaTheme="minorEastAsia" w:cstheme="minorBidi"/>
          <w:szCs w:val="22"/>
        </w:rPr>
        <w:tab/>
      </w:r>
      <w:r>
        <w:rPr>
          <w:rStyle w:val="26"/>
        </w:rPr>
        <w:t>网格划分</w:t>
      </w:r>
      <w:r>
        <w:tab/>
      </w:r>
      <w:r>
        <w:fldChar w:fldCharType="begin"/>
      </w:r>
      <w:r>
        <w:instrText xml:space="preserve"> PAGEREF _Toc92117272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"_Toc92117273" </w:instrText>
      </w:r>
      <w:r>
        <w:fldChar w:fldCharType="separate"/>
      </w:r>
      <w:r>
        <w:rPr>
          <w:rStyle w:val="26"/>
          <w:lang w:val="en-GB"/>
        </w:rPr>
        <w:t>4.3</w:t>
      </w:r>
      <w:r>
        <w:rPr>
          <w:rFonts w:asciiTheme="minorHAnsi" w:hAnsiTheme="minorHAnsi" w:eastAsiaTheme="minorEastAsia" w:cstheme="minorBidi"/>
          <w:szCs w:val="22"/>
        </w:rPr>
        <w:tab/>
      </w:r>
      <w:r>
        <w:rPr>
          <w:rStyle w:val="26"/>
        </w:rPr>
        <w:t>边界条件</w:t>
      </w:r>
      <w:r>
        <w:tab/>
      </w:r>
      <w:r>
        <w:fldChar w:fldCharType="begin"/>
      </w:r>
      <w:r>
        <w:instrText xml:space="preserve"> PAGEREF _Toc92117273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"_Toc92117274" </w:instrText>
      </w:r>
      <w:r>
        <w:fldChar w:fldCharType="separate"/>
      </w:r>
      <w:r>
        <w:rPr>
          <w:rStyle w:val="26"/>
          <w:lang w:val="en-GB"/>
        </w:rPr>
        <w:t>4.3.1</w:t>
      </w:r>
      <w:r>
        <w:rPr>
          <w:rFonts w:asciiTheme="minorHAnsi" w:hAnsiTheme="minorHAnsi" w:eastAsiaTheme="minorEastAsia" w:cstheme="minorBidi"/>
          <w:szCs w:val="22"/>
        </w:rPr>
        <w:tab/>
      </w:r>
      <w:r>
        <w:rPr>
          <w:rStyle w:val="26"/>
        </w:rPr>
        <w:t>入口与出口边界条件</w:t>
      </w:r>
      <w:r>
        <w:tab/>
      </w:r>
      <w:r>
        <w:fldChar w:fldCharType="begin"/>
      </w:r>
      <w:r>
        <w:instrText xml:space="preserve"> PAGEREF _Toc92117274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"_Toc92117275" </w:instrText>
      </w:r>
      <w:r>
        <w:fldChar w:fldCharType="separate"/>
      </w:r>
      <w:r>
        <w:rPr>
          <w:rStyle w:val="26"/>
          <w:lang w:val="en-GB"/>
        </w:rPr>
        <w:t>4.3.2</w:t>
      </w:r>
      <w:r>
        <w:rPr>
          <w:rFonts w:asciiTheme="minorHAnsi" w:hAnsiTheme="minorHAnsi" w:eastAsiaTheme="minorEastAsia" w:cstheme="minorBidi"/>
          <w:szCs w:val="22"/>
        </w:rPr>
        <w:tab/>
      </w:r>
      <w:r>
        <w:rPr>
          <w:rStyle w:val="26"/>
        </w:rPr>
        <w:t>壁面边界条件</w:t>
      </w:r>
      <w:r>
        <w:tab/>
      </w:r>
      <w:r>
        <w:fldChar w:fldCharType="begin"/>
      </w:r>
      <w:r>
        <w:instrText xml:space="preserve"> PAGEREF _Toc92117275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"_Toc92117276" </w:instrText>
      </w:r>
      <w:r>
        <w:fldChar w:fldCharType="separate"/>
      </w:r>
      <w:r>
        <w:rPr>
          <w:rStyle w:val="26"/>
          <w:lang w:val="en-GB"/>
        </w:rPr>
        <w:t>4.4</w:t>
      </w:r>
      <w:r>
        <w:rPr>
          <w:rFonts w:asciiTheme="minorHAnsi" w:hAnsiTheme="minorHAnsi" w:eastAsiaTheme="minorEastAsia" w:cstheme="minorBidi"/>
          <w:szCs w:val="22"/>
        </w:rPr>
        <w:tab/>
      </w:r>
      <w:r>
        <w:rPr>
          <w:rStyle w:val="26"/>
        </w:rPr>
        <w:t>湍流模型</w:t>
      </w:r>
      <w:r>
        <w:tab/>
      </w:r>
      <w:r>
        <w:fldChar w:fldCharType="begin"/>
      </w:r>
      <w:r>
        <w:instrText xml:space="preserve"> PAGEREF _Toc92117276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"_Toc92117277" </w:instrText>
      </w:r>
      <w:r>
        <w:fldChar w:fldCharType="separate"/>
      </w:r>
      <w:r>
        <w:rPr>
          <w:rStyle w:val="26"/>
          <w:lang w:val="en-GB"/>
        </w:rPr>
        <w:t>4.5</w:t>
      </w:r>
      <w:r>
        <w:rPr>
          <w:rFonts w:asciiTheme="minorHAnsi" w:hAnsiTheme="minorHAnsi" w:eastAsiaTheme="minorEastAsia" w:cstheme="minorBidi"/>
          <w:szCs w:val="22"/>
        </w:rPr>
        <w:tab/>
      </w:r>
      <w:r>
        <w:rPr>
          <w:rStyle w:val="26"/>
        </w:rPr>
        <w:t>求解计算</w:t>
      </w:r>
      <w:r>
        <w:tab/>
      </w:r>
      <w:r>
        <w:fldChar w:fldCharType="begin"/>
      </w:r>
      <w:r>
        <w:instrText xml:space="preserve"> PAGEREF _Toc92117277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"_Toc92117278" </w:instrText>
      </w:r>
      <w:r>
        <w:fldChar w:fldCharType="separate"/>
      </w:r>
      <w:r>
        <w:rPr>
          <w:rStyle w:val="26"/>
          <w:lang w:val="en-GB"/>
        </w:rPr>
        <w:t>4.6</w:t>
      </w:r>
      <w:r>
        <w:rPr>
          <w:rFonts w:asciiTheme="minorHAnsi" w:hAnsiTheme="minorHAnsi" w:eastAsiaTheme="minorEastAsia" w:cstheme="minorBidi"/>
          <w:szCs w:val="22"/>
        </w:rPr>
        <w:tab/>
      </w:r>
      <w:r>
        <w:rPr>
          <w:rStyle w:val="26"/>
        </w:rPr>
        <w:t>风速放大系数计算</w:t>
      </w:r>
      <w:r>
        <w:tab/>
      </w:r>
      <w:r>
        <w:fldChar w:fldCharType="begin"/>
      </w:r>
      <w:r>
        <w:instrText xml:space="preserve"> PAGEREF _Toc92117278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"_Toc92117279"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_Toc92117279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"_Toc92117280" </w:instrText>
      </w:r>
      <w:r>
        <w:fldChar w:fldCharType="separate"/>
      </w:r>
      <w:r>
        <w:rPr>
          <w:rStyle w:val="26"/>
          <w:lang w:val="en-GB"/>
        </w:rPr>
        <w:t>5.1</w:t>
      </w:r>
      <w:r>
        <w:rPr>
          <w:rFonts w:asciiTheme="minorHAnsi" w:hAnsiTheme="minorHAnsi" w:eastAsiaTheme="minorEastAsia" w:cstheme="minorBidi"/>
          <w:szCs w:val="22"/>
        </w:rPr>
        <w:tab/>
      </w:r>
      <w:r>
        <w:rPr>
          <w:rStyle w:val="26"/>
        </w:rPr>
        <w:t>工况表</w:t>
      </w:r>
      <w:r>
        <w:tab/>
      </w:r>
      <w:r>
        <w:fldChar w:fldCharType="begin"/>
      </w:r>
      <w:r>
        <w:instrText xml:space="preserve"> PAGEREF _Toc92117280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"_Toc92117281" </w:instrText>
      </w:r>
      <w:r>
        <w:fldChar w:fldCharType="separate"/>
      </w:r>
      <w:r>
        <w:rPr>
          <w:rStyle w:val="26"/>
          <w:lang w:val="en-GB"/>
        </w:rPr>
        <w:t>5.2</w:t>
      </w:r>
      <w:r>
        <w:rPr>
          <w:rFonts w:asciiTheme="minorHAnsi" w:hAnsiTheme="minorHAnsi" w:eastAsiaTheme="minorEastAsia" w:cstheme="minorBidi"/>
          <w:szCs w:val="22"/>
        </w:rPr>
        <w:tab/>
      </w:r>
      <w:r>
        <w:rPr>
          <w:rStyle w:val="26"/>
        </w:rPr>
        <w:t>冬季工况</w:t>
      </w:r>
      <w:r>
        <w:tab/>
      </w:r>
      <w:r>
        <w:fldChar w:fldCharType="begin"/>
      </w:r>
      <w:r>
        <w:instrText xml:space="preserve"> PAGEREF _Toc92117281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"_Toc92117282" </w:instrText>
      </w:r>
      <w:r>
        <w:fldChar w:fldCharType="separate"/>
      </w:r>
      <w:r>
        <w:rPr>
          <w:rStyle w:val="26"/>
          <w:lang w:val="en-GB"/>
        </w:rPr>
        <w:t>5.2.1</w:t>
      </w:r>
      <w:r>
        <w:rPr>
          <w:rFonts w:asciiTheme="minorHAnsi" w:hAnsiTheme="minorHAnsi" w:eastAsiaTheme="minorEastAsia" w:cstheme="minorBidi"/>
          <w:szCs w:val="22"/>
        </w:rPr>
        <w:tab/>
      </w:r>
      <w:r>
        <w:rPr>
          <w:rStyle w:val="26"/>
        </w:rPr>
        <w:t>风速达标分析</w:t>
      </w:r>
      <w:r>
        <w:tab/>
      </w:r>
      <w:r>
        <w:fldChar w:fldCharType="begin"/>
      </w:r>
      <w:r>
        <w:instrText xml:space="preserve"> PAGEREF _Toc92117282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"_Toc92117283" </w:instrText>
      </w:r>
      <w:r>
        <w:fldChar w:fldCharType="separate"/>
      </w:r>
      <w:r>
        <w:rPr>
          <w:rStyle w:val="26"/>
          <w:lang w:val="en-GB"/>
        </w:rPr>
        <w:t>5.2.2</w:t>
      </w:r>
      <w:r>
        <w:rPr>
          <w:rFonts w:asciiTheme="minorHAnsi" w:hAnsiTheme="minorHAnsi" w:eastAsiaTheme="minorEastAsia" w:cstheme="minorBidi"/>
          <w:szCs w:val="22"/>
        </w:rPr>
        <w:tab/>
      </w:r>
      <w:r>
        <w:rPr>
          <w:rStyle w:val="26"/>
        </w:rPr>
        <w:t>风速放大系数达标分析</w:t>
      </w:r>
      <w:r>
        <w:tab/>
      </w:r>
      <w:r>
        <w:fldChar w:fldCharType="begin"/>
      </w:r>
      <w:r>
        <w:instrText xml:space="preserve"> PAGEREF _Toc92117283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"_Toc92117284" </w:instrText>
      </w:r>
      <w:r>
        <w:fldChar w:fldCharType="separate"/>
      </w:r>
      <w:r>
        <w:rPr>
          <w:rStyle w:val="26"/>
          <w:lang w:val="en-GB"/>
        </w:rPr>
        <w:t>5.2.3</w:t>
      </w:r>
      <w:r>
        <w:rPr>
          <w:rFonts w:asciiTheme="minorHAnsi" w:hAnsiTheme="minorHAnsi" w:eastAsiaTheme="minorEastAsia" w:cstheme="minorBidi"/>
          <w:szCs w:val="22"/>
        </w:rPr>
        <w:tab/>
      </w:r>
      <w:r>
        <w:rPr>
          <w:rStyle w:val="26"/>
          <w:rFonts w:cs="宋体"/>
          <w:lang w:val="en-GB"/>
        </w:rPr>
        <w:t>人行区域</w:t>
      </w:r>
      <w:r>
        <w:rPr>
          <w:rStyle w:val="26"/>
        </w:rPr>
        <w:t>冬季工况风速/风速放大系数达标判定</w:t>
      </w:r>
      <w:r>
        <w:tab/>
      </w:r>
      <w:r>
        <w:fldChar w:fldCharType="begin"/>
      </w:r>
      <w:r>
        <w:instrText xml:space="preserve"> PAGEREF _Toc92117284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"_Toc92117285" </w:instrText>
      </w:r>
      <w:r>
        <w:fldChar w:fldCharType="separate"/>
      </w:r>
      <w:r>
        <w:rPr>
          <w:rStyle w:val="26"/>
          <w:lang w:val="en-GB"/>
        </w:rPr>
        <w:t>5.2.4</w:t>
      </w:r>
      <w:r>
        <w:rPr>
          <w:rFonts w:asciiTheme="minorHAnsi" w:hAnsiTheme="minorHAnsi" w:eastAsiaTheme="minorEastAsia" w:cstheme="minorBidi"/>
          <w:szCs w:val="22"/>
        </w:rPr>
        <w:tab/>
      </w:r>
      <w:r>
        <w:rPr>
          <w:rStyle w:val="26"/>
        </w:rPr>
        <w:t>建筑迎风面和背风面风压分析</w:t>
      </w:r>
      <w:r>
        <w:tab/>
      </w:r>
      <w:r>
        <w:fldChar w:fldCharType="begin"/>
      </w:r>
      <w:r>
        <w:instrText xml:space="preserve"> PAGEREF _Toc92117285 \h </w:instrText>
      </w:r>
      <w:r>
        <w:fldChar w:fldCharType="separate"/>
      </w:r>
      <w:r>
        <w:t>15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"_Toc92117286" </w:instrText>
      </w:r>
      <w:r>
        <w:fldChar w:fldCharType="separate"/>
      </w:r>
      <w:r>
        <w:rPr>
          <w:rStyle w:val="26"/>
          <w:lang w:val="en-GB"/>
        </w:rPr>
        <w:t>5.3</w:t>
      </w:r>
      <w:r>
        <w:rPr>
          <w:rFonts w:asciiTheme="minorHAnsi" w:hAnsiTheme="minorHAnsi" w:eastAsiaTheme="minorEastAsia" w:cstheme="minorBidi"/>
          <w:szCs w:val="22"/>
        </w:rPr>
        <w:tab/>
      </w:r>
      <w:r>
        <w:rPr>
          <w:rStyle w:val="26"/>
        </w:rPr>
        <w:t>夏季工况</w:t>
      </w:r>
      <w:r>
        <w:tab/>
      </w:r>
      <w:r>
        <w:fldChar w:fldCharType="begin"/>
      </w:r>
      <w:r>
        <w:instrText xml:space="preserve"> PAGEREF _Toc92117286 \h </w:instrText>
      </w:r>
      <w:r>
        <w:fldChar w:fldCharType="separate"/>
      </w:r>
      <w:r>
        <w:t>17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"_Toc92117287" </w:instrText>
      </w:r>
      <w:r>
        <w:fldChar w:fldCharType="separate"/>
      </w:r>
      <w:r>
        <w:rPr>
          <w:rStyle w:val="26"/>
          <w:lang w:val="en-GB"/>
        </w:rPr>
        <w:t>5.3.1</w:t>
      </w:r>
      <w:r>
        <w:rPr>
          <w:rFonts w:asciiTheme="minorHAnsi" w:hAnsiTheme="minorHAnsi" w:eastAsiaTheme="minorEastAsia" w:cstheme="minorBidi"/>
          <w:szCs w:val="22"/>
        </w:rPr>
        <w:tab/>
      </w:r>
      <w:r>
        <w:rPr>
          <w:rStyle w:val="26"/>
        </w:rPr>
        <w:t>无风区计算分析</w:t>
      </w:r>
      <w:r>
        <w:tab/>
      </w:r>
      <w:r>
        <w:fldChar w:fldCharType="begin"/>
      </w:r>
      <w:r>
        <w:instrText xml:space="preserve"> PAGEREF _Toc92117287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"_Toc92117288" </w:instrText>
      </w:r>
      <w:r>
        <w:fldChar w:fldCharType="separate"/>
      </w:r>
      <w:r>
        <w:rPr>
          <w:rStyle w:val="26"/>
          <w:lang w:val="en-GB"/>
        </w:rPr>
        <w:t>5.3.2</w:t>
      </w:r>
      <w:r>
        <w:rPr>
          <w:rFonts w:asciiTheme="minorHAnsi" w:hAnsiTheme="minorHAnsi" w:eastAsiaTheme="minorEastAsia" w:cstheme="minorBidi"/>
          <w:szCs w:val="22"/>
        </w:rPr>
        <w:tab/>
      </w:r>
      <w:r>
        <w:rPr>
          <w:rStyle w:val="26"/>
        </w:rPr>
        <w:t>旋涡区分析</w:t>
      </w:r>
      <w:r>
        <w:tab/>
      </w:r>
      <w:r>
        <w:fldChar w:fldCharType="begin"/>
      </w:r>
      <w:r>
        <w:instrText xml:space="preserve"> PAGEREF _Toc92117288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"_Toc92117289" </w:instrText>
      </w:r>
      <w:r>
        <w:fldChar w:fldCharType="separate"/>
      </w:r>
      <w:r>
        <w:rPr>
          <w:rStyle w:val="26"/>
          <w:lang w:val="en-GB"/>
        </w:rPr>
        <w:t>5.3.3</w:t>
      </w:r>
      <w:r>
        <w:rPr>
          <w:rFonts w:asciiTheme="minorHAnsi" w:hAnsiTheme="minorHAnsi" w:eastAsiaTheme="minorEastAsia" w:cstheme="minorBidi"/>
          <w:szCs w:val="22"/>
        </w:rPr>
        <w:tab/>
      </w:r>
      <w:r>
        <w:rPr>
          <w:rStyle w:val="26"/>
        </w:rPr>
        <w:t>人行区域旋涡区/无风区达标判定</w:t>
      </w:r>
      <w:r>
        <w:tab/>
      </w:r>
      <w:r>
        <w:fldChar w:fldCharType="begin"/>
      </w:r>
      <w:r>
        <w:instrText xml:space="preserve"> PAGEREF _Toc92117289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"_Toc92117290" </w:instrText>
      </w:r>
      <w:r>
        <w:fldChar w:fldCharType="separate"/>
      </w:r>
      <w:r>
        <w:rPr>
          <w:rStyle w:val="26"/>
          <w:lang w:val="en-GB"/>
        </w:rPr>
        <w:t>5.3.4</w:t>
      </w:r>
      <w:r>
        <w:rPr>
          <w:rFonts w:asciiTheme="minorHAnsi" w:hAnsiTheme="minorHAnsi" w:eastAsiaTheme="minorEastAsia" w:cstheme="minorBidi"/>
          <w:szCs w:val="22"/>
        </w:rPr>
        <w:tab/>
      </w:r>
      <w:r>
        <w:rPr>
          <w:rStyle w:val="26"/>
        </w:rPr>
        <w:t>外窗内外表面风压差达标分析</w:t>
      </w:r>
      <w:r>
        <w:tab/>
      </w:r>
      <w:r>
        <w:fldChar w:fldCharType="begin"/>
      </w:r>
      <w:r>
        <w:instrText xml:space="preserve"> PAGEREF _Toc92117290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"_Toc92117291" </w:instrText>
      </w:r>
      <w:r>
        <w:fldChar w:fldCharType="separate"/>
      </w:r>
      <w:r>
        <w:rPr>
          <w:rStyle w:val="26"/>
          <w:lang w:val="en-GB"/>
        </w:rPr>
        <w:t>5.4</w:t>
      </w:r>
      <w:r>
        <w:rPr>
          <w:rFonts w:asciiTheme="minorHAnsi" w:hAnsiTheme="minorHAnsi" w:eastAsiaTheme="minorEastAsia" w:cstheme="minorBidi"/>
          <w:szCs w:val="22"/>
        </w:rPr>
        <w:tab/>
      </w:r>
      <w:r>
        <w:rPr>
          <w:rStyle w:val="26"/>
        </w:rPr>
        <w:t>结论</w:t>
      </w:r>
      <w:r>
        <w:tab/>
      </w:r>
      <w:r>
        <w:fldChar w:fldCharType="begin"/>
      </w:r>
      <w:r>
        <w:instrText xml:space="preserve"> PAGEREF _Toc92117291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"_Toc92117292" </w:instrText>
      </w:r>
      <w:r>
        <w:fldChar w:fldCharType="separate"/>
      </w:r>
      <w:r>
        <w:rPr>
          <w:rStyle w:val="26"/>
          <w:lang w:val="en-GB"/>
        </w:rPr>
        <w:t>5.4.1</w:t>
      </w:r>
      <w:r>
        <w:rPr>
          <w:rFonts w:asciiTheme="minorHAnsi" w:hAnsiTheme="minorHAnsi" w:eastAsiaTheme="minorEastAsia" w:cstheme="minorBidi"/>
          <w:szCs w:val="22"/>
        </w:rPr>
        <w:tab/>
      </w:r>
      <w:r>
        <w:rPr>
          <w:rStyle w:val="26"/>
        </w:rPr>
        <w:t>冬季工况达标判断</w:t>
      </w:r>
      <w:r>
        <w:tab/>
      </w:r>
      <w:r>
        <w:fldChar w:fldCharType="begin"/>
      </w:r>
      <w:r>
        <w:instrText xml:space="preserve"> PAGEREF _Toc92117292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"_Toc92117293" </w:instrText>
      </w:r>
      <w:r>
        <w:fldChar w:fldCharType="separate"/>
      </w:r>
      <w:r>
        <w:rPr>
          <w:rStyle w:val="26"/>
          <w:lang w:val="en-GB"/>
        </w:rPr>
        <w:t>5.4.2</w:t>
      </w:r>
      <w:r>
        <w:rPr>
          <w:rFonts w:asciiTheme="minorHAnsi" w:hAnsiTheme="minorHAnsi" w:eastAsiaTheme="minorEastAsia" w:cstheme="minorBidi"/>
          <w:szCs w:val="22"/>
        </w:rPr>
        <w:tab/>
      </w:r>
      <w:r>
        <w:rPr>
          <w:rStyle w:val="26"/>
        </w:rPr>
        <w:t>过渡季、夏季工况达标判断</w:t>
      </w:r>
      <w:r>
        <w:tab/>
      </w:r>
      <w:r>
        <w:fldChar w:fldCharType="begin"/>
      </w:r>
      <w:r>
        <w:instrText xml:space="preserve"> PAGEREF _Toc92117293 \h </w:instrText>
      </w:r>
      <w:r>
        <w:fldChar w:fldCharType="separate"/>
      </w:r>
      <w:r>
        <w:t>21</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8" w:name="_Toc452108759"/>
      <w:bookmarkStart w:id="9" w:name="_Toc92117263"/>
      <w:r>
        <w:rPr>
          <w:rFonts w:hint="eastAsia"/>
        </w:rPr>
        <w:t>项目概况</w:t>
      </w:r>
      <w:bookmarkEnd w:id="8"/>
      <w:bookmarkEnd w:id="9"/>
    </w:p>
    <w:p>
      <w:pPr>
        <w:pStyle w:val="3"/>
        <w:ind w:firstLine="420"/>
        <w:rPr>
          <w:lang w:val="en-US"/>
        </w:rPr>
      </w:pPr>
      <w:bookmarkStart w:id="10" w:name="项目概况"/>
      <w:bookmarkEnd w:id="10"/>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1" w:name="_Toc452108760"/>
      <w:bookmarkStart w:id="12" w:name="_Toc92117264"/>
      <w:r>
        <w:rPr>
          <w:rFonts w:hint="eastAsia"/>
        </w:rPr>
        <w:t>总</w:t>
      </w:r>
      <w:r>
        <w:t>平面图</w:t>
      </w:r>
      <w:bookmarkEnd w:id="11"/>
      <w:bookmarkEnd w:id="12"/>
    </w:p>
    <w:p>
      <w:pPr>
        <w:pStyle w:val="3"/>
        <w:ind w:firstLine="0" w:firstLineChars="0"/>
        <w:jc w:val="center"/>
        <w:rPr>
          <w:lang w:val="en-US"/>
        </w:rPr>
      </w:pPr>
      <w:r>
        <w:rPr>
          <w:rFonts w:hint="eastAsia"/>
          <w:lang w:val="en-US"/>
        </w:rPr>
        <w:t xml:space="preserve"> </w:t>
      </w:r>
      <w:bookmarkStart w:id="13" w:name="总平面图"/>
      <w:bookmarkEnd w:id="13"/>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4" w:name="_Toc92117265"/>
      <w:bookmarkStart w:id="15" w:name="_Toc452108761"/>
      <w:r>
        <w:rPr>
          <w:rFonts w:hint="eastAsia"/>
        </w:rPr>
        <w:t>三</w:t>
      </w:r>
      <w:r>
        <w:t>维视图</w:t>
      </w:r>
      <w:bookmarkEnd w:id="14"/>
      <w:bookmarkEnd w:id="15"/>
    </w:p>
    <w:p>
      <w:pPr>
        <w:pStyle w:val="3"/>
        <w:ind w:firstLine="0" w:firstLineChars="0"/>
        <w:jc w:val="center"/>
        <w:rPr>
          <w:lang w:val="en-US"/>
        </w:rPr>
      </w:pPr>
      <w:r>
        <w:rPr>
          <w:rFonts w:hint="eastAsia"/>
          <w:lang w:val="en-US"/>
        </w:rPr>
        <w:t xml:space="preserve"> </w:t>
      </w:r>
      <w:bookmarkStart w:id="16" w:name="三维视图"/>
      <w:bookmarkEnd w:id="16"/>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7" w:name="_Toc452108762"/>
      <w:bookmarkStart w:id="18" w:name="_Toc92117266"/>
      <w:bookmarkStart w:id="19" w:name="TitleFormat"/>
      <w:r>
        <w:rPr>
          <w:rFonts w:hint="eastAsia"/>
        </w:rPr>
        <w:t>计算</w:t>
      </w:r>
      <w:r>
        <w:t>依据</w:t>
      </w:r>
      <w:bookmarkEnd w:id="17"/>
      <w:bookmarkEnd w:id="18"/>
      <w:bookmarkEnd w:id="19"/>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r>
        <w:rPr>
          <w:rFonts w:hint="eastAsia"/>
          <w:lang w:val="en-US"/>
        </w:rPr>
        <w:t>《绿色建筑评价标准》GB/T 50378—</w:t>
      </w:r>
      <w:r>
        <w:rPr>
          <w:lang w:val="en-US"/>
        </w:rPr>
        <w:t>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0" w:name="_Toc452108763"/>
      <w:bookmarkStart w:id="21" w:name="_Toc92117267"/>
      <w:r>
        <w:rPr>
          <w:rFonts w:hint="eastAsia"/>
        </w:rPr>
        <w:t>参考</w:t>
      </w:r>
      <w:r>
        <w:t>标准</w:t>
      </w:r>
      <w:bookmarkEnd w:id="20"/>
      <w:bookmarkEnd w:id="21"/>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2" w:name="_Toc451698935"/>
      <w:bookmarkStart w:id="23" w:name="_Toc452108764"/>
      <w:bookmarkStart w:id="24"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5" w:name="_Toc92117268"/>
      <w:r>
        <w:rPr>
          <w:rFonts w:hint="eastAsia"/>
        </w:rPr>
        <w:t>计算原理</w:t>
      </w:r>
      <w:bookmarkEnd w:id="22"/>
      <w:bookmarkEnd w:id="23"/>
      <w:bookmarkEnd w:id="25"/>
    </w:p>
    <w:p>
      <w:pPr>
        <w:pStyle w:val="4"/>
        <w:numPr>
          <w:ilvl w:val="1"/>
          <w:numId w:val="3"/>
        </w:numPr>
      </w:pPr>
      <w:bookmarkStart w:id="26" w:name="_Toc509844740"/>
      <w:bookmarkStart w:id="27" w:name="_Toc92117269"/>
      <w:bookmarkStart w:id="28" w:name="_Toc452108765"/>
      <w:bookmarkStart w:id="29" w:name="_Toc451698937"/>
      <w:r>
        <w:rPr>
          <w:rFonts w:hint="eastAsia"/>
        </w:rPr>
        <w:t>风场计算域</w:t>
      </w:r>
      <w:bookmarkEnd w:id="26"/>
      <w:bookmarkEnd w:id="2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0" w:name="_Toc92117270"/>
      <w:r>
        <w:rPr>
          <w:rFonts w:hint="eastAsia"/>
        </w:rPr>
        <w:t>冬季工况风场计算域</w:t>
      </w:r>
      <w:bookmarkEnd w:id="30"/>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114</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1" w:name="_Toc92117271"/>
      <w:r>
        <w:rPr>
          <w:rFonts w:hint="eastAsia"/>
        </w:rPr>
        <w:t>夏季工况风场计算域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2" w:name="冬季风场X尺寸"/>
            <w:r>
              <w:t>310</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3" w:name="冬季风场Y尺寸"/>
            <w:r>
              <w:t>283</w:t>
            </w:r>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114</w:t>
            </w:r>
            <w:bookmarkEnd w:id="34"/>
          </w:p>
        </w:tc>
      </w:tr>
    </w:tbl>
    <w:p>
      <w:pPr>
        <w:pStyle w:val="3"/>
        <w:ind w:firstLine="0" w:firstLineChars="0"/>
        <w:jc w:val="center"/>
        <w:rPr>
          <w:lang w:val="en-US"/>
        </w:rPr>
      </w:pPr>
      <w:bookmarkStart w:id="35" w:name="冬季工况风场计算域图示"/>
      <w:bookmarkEnd w:id="35"/>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3"/>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bookmarkEnd w:id="36"/>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509844741"/>
      <w:bookmarkStart w:id="38" w:name="_Toc92117272"/>
      <w:r>
        <w:rPr>
          <w:rFonts w:hint="eastAsia"/>
        </w:rPr>
        <w:t>网格划分</w:t>
      </w:r>
      <w:bookmarkEnd w:id="37"/>
      <w:bookmarkEnd w:id="38"/>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4"/>
        </w:numPr>
        <w:spacing w:before="156"/>
      </w:pPr>
      <w:bookmarkStart w:id="41" w:name="OLE_LINK15"/>
      <w:r>
        <w:rPr>
          <w:rFonts w:hint="eastAsia"/>
        </w:rPr>
        <w:t>分弧精度：对于有圆弧特征的建筑局部，把圆弧分解为线段时，弦到弧的最大距离；</w:t>
      </w:r>
    </w:p>
    <w:bookmarkEnd w:id="41"/>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39"/>
      <w:bookmarkEnd w:id="40"/>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463063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0.18</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3</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2" w:name="冬季网格总数"/>
            <w:r>
              <w:t>436069</w:t>
            </w:r>
            <w:bookmarkEnd w:id="4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3" w:name="冬季分弧精度"/>
            <w:r>
              <w:t>0.18</w:t>
            </w:r>
            <w:bookmarkEnd w:id="4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4" w:name="冬季初始网格"/>
            <w:r>
              <w:t>8.0</w:t>
            </w:r>
            <w:bookmarkEnd w:id="4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5" w:name="冬季最小细分级数"/>
            <w:r>
              <w:t>2</w:t>
            </w:r>
            <w:bookmarkEnd w:id="4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6" w:name="冬季最大细分级数"/>
            <w:r>
              <w:t>3</w:t>
            </w:r>
            <w:bookmarkEnd w:id="4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7" w:name="冬季远场细分级数"/>
            <w:r>
              <w:t>2</w:t>
            </w:r>
            <w:bookmarkEnd w:id="4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8" w:name="冬季近场细分级数"/>
            <w:r>
              <w:t>3</w:t>
            </w:r>
            <w:bookmarkEnd w:id="4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地面附面层数"/>
            <w:r>
              <w:t>4</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建筑附面层数"/>
            <w:r>
              <w:t>1</w:t>
            </w:r>
            <w:bookmarkEnd w:id="50"/>
          </w:p>
        </w:tc>
      </w:tr>
    </w:tbl>
    <w:p>
      <w:pPr>
        <w:rPr>
          <w:szCs w:val="21"/>
          <w:lang w:val="en-US"/>
        </w:rPr>
      </w:pPr>
    </w:p>
    <w:p>
      <w:pPr>
        <w:pStyle w:val="3"/>
        <w:ind w:firstLine="630" w:firstLineChars="300"/>
        <w:rPr>
          <w:rFonts w:ascii="黑体" w:hAnsi="黑体" w:eastAsia="黑体"/>
          <w:szCs w:val="20"/>
        </w:rPr>
      </w:pPr>
      <w:bookmarkStart w:id="51" w:name="网格划分信息"/>
      <w:bookmarkEnd w:id="51"/>
      <w:r>
        <w:rPr>
          <w:rFonts w:hint="eastAsia" w:ascii="黑体" w:hAnsi="黑体" w:eastAsia="黑体"/>
          <w:szCs w:val="20"/>
          <w:lang w:val="en-US"/>
        </w:rPr>
        <w:t>注：前述计算域随风向不同，所以相同的网格方案会产生不同的网格数量。</w:t>
      </w:r>
    </w:p>
    <w:p>
      <w:pPr>
        <w:pStyle w:val="4"/>
        <w:numPr>
          <w:ilvl w:val="1"/>
          <w:numId w:val="3"/>
        </w:numPr>
      </w:pPr>
      <w:bookmarkStart w:id="52" w:name="_Toc509844742"/>
      <w:bookmarkStart w:id="53" w:name="_Toc92117273"/>
      <w:r>
        <w:rPr>
          <w:rFonts w:hint="eastAsia"/>
        </w:rPr>
        <w:t>边界条件</w:t>
      </w:r>
      <w:bookmarkEnd w:id="52"/>
      <w:bookmarkEnd w:id="53"/>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54" w:name="_Toc92117274"/>
      <w:bookmarkStart w:id="55" w:name="_Toc509844743"/>
      <w:r>
        <w:rPr>
          <w:rFonts w:hint="eastAsia"/>
        </w:rPr>
        <w:t>入口与出口边界条件</w:t>
      </w:r>
      <w:bookmarkEnd w:id="54"/>
      <w:bookmarkEnd w:id="55"/>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1.1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8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85pt;width:14.1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56" w:name="地面粗糙度指数2"/>
      <w:r>
        <w:rPr>
          <w:rFonts w:hint="eastAsia"/>
          <w:lang w:val="en-US"/>
        </w:rPr>
        <w:t>0.28</w:t>
      </w:r>
      <w:bookmarkEnd w:id="56"/>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57" w:name="_Toc509844744"/>
      <w:bookmarkStart w:id="58" w:name="_Toc92117275"/>
      <w:r>
        <w:rPr>
          <w:rFonts w:hint="eastAsia"/>
        </w:rPr>
        <w:t>壁面边界条件</w:t>
      </w:r>
      <w:bookmarkEnd w:id="57"/>
      <w:bookmarkEnd w:id="58"/>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59" w:name="_Toc92117276"/>
      <w:r>
        <w:rPr>
          <w:rFonts w:hint="eastAsia"/>
        </w:rPr>
        <w:t>湍流模型</w:t>
      </w:r>
      <w:bookmarkEnd w:id="28"/>
      <w:bookmarkEnd w:id="29"/>
      <w:bookmarkEnd w:id="59"/>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0" w:name="_Toc92117277"/>
      <w:bookmarkStart w:id="61" w:name="_Toc451698939"/>
      <w:bookmarkStart w:id="62" w:name="_Toc452108767"/>
      <w:r>
        <w:rPr>
          <w:rFonts w:hint="eastAsia"/>
        </w:rPr>
        <w:t>求解计算</w:t>
      </w:r>
      <w:bookmarkEnd w:id="60"/>
      <w:bookmarkEnd w:id="61"/>
      <w:bookmarkEnd w:id="62"/>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3"/>
      <w:r>
        <w:rPr>
          <w:rFonts w:hint="eastAsia" w:ascii="黑体" w:hAnsi="黑体" w:eastAsia="黑体"/>
          <w:sz w:val="20"/>
          <w:szCs w:val="20"/>
        </w:rPr>
        <w:t xml:space="preserve"> </w:t>
      </w:r>
      <w:bookmarkStart w:id="64" w:name="_Ref225175618"/>
      <w:r>
        <w:rPr>
          <w:rFonts w:hint="eastAsia" w:ascii="黑体" w:hAnsi="黑体" w:eastAsia="黑体"/>
          <w:sz w:val="20"/>
          <w:szCs w:val="20"/>
        </w:rPr>
        <w:t>计算流体力学的控制方程</w:t>
      </w:r>
      <w:bookmarkEnd w:id="6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4"/>
    </w:p>
    <w:p>
      <w:pPr>
        <w:pStyle w:val="4"/>
      </w:pPr>
      <w:bookmarkStart w:id="65" w:name="_Toc509844747"/>
      <w:bookmarkStart w:id="66" w:name="_Toc92117278"/>
      <w:r>
        <w:rPr>
          <w:rFonts w:hint="eastAsia"/>
        </w:rPr>
        <w:t>风速放大系数计算</w:t>
      </w:r>
      <w:bookmarkEnd w:id="65"/>
      <w:bookmarkEnd w:id="66"/>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15pt;width:12.8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15pt;width:24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15pt;width:20.1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67" w:name="地面粗糙度指数"/>
      <w:r>
        <w:rPr>
          <w:rFonts w:hint="eastAsia"/>
          <w:lang w:val="en-US"/>
        </w:rPr>
        <w:t>0.28</w:t>
      </w:r>
      <w:bookmarkEnd w:id="67"/>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68" w:name="_Toc452108768"/>
      <w:bookmarkStart w:id="69" w:name="_Toc92117279"/>
      <w:r>
        <w:rPr>
          <w:rFonts w:hint="eastAsia"/>
        </w:rPr>
        <w:t>结果</w:t>
      </w:r>
      <w:r>
        <w:t>分析</w:t>
      </w:r>
      <w:bookmarkEnd w:id="68"/>
      <w:bookmarkEnd w:id="69"/>
    </w:p>
    <w:p>
      <w:pPr>
        <w:pStyle w:val="4"/>
        <w:rPr>
          <w:szCs w:val="21"/>
        </w:rPr>
      </w:pPr>
      <w:bookmarkStart w:id="70" w:name="_Toc92117280"/>
      <w:r>
        <w:rPr>
          <w:rFonts w:hint="eastAsia"/>
          <w:szCs w:val="21"/>
        </w:rPr>
        <w:t>工况</w:t>
      </w:r>
      <w:r>
        <w:rPr>
          <w:szCs w:val="21"/>
        </w:rPr>
        <w:t>表</w:t>
      </w:r>
      <w:bookmarkEnd w:id="70"/>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3.20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247.5</w:t>
            </w:r>
          </w:p>
        </w:tc>
      </w:tr>
      <w:bookmarkEnd w:id="71"/>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2" w:name="_Toc509844750"/>
      <w:bookmarkStart w:id="73" w:name="_Toc92117281"/>
      <w:r>
        <w:rPr>
          <w:rFonts w:hint="eastAsia"/>
        </w:rPr>
        <w:t>冬季工况</w:t>
      </w:r>
      <w:bookmarkEnd w:id="72"/>
      <w:bookmarkEnd w:id="73"/>
    </w:p>
    <w:p>
      <w:pPr>
        <w:ind w:firstLine="420" w:firstLineChars="200"/>
        <w:jc w:val="both"/>
      </w:pPr>
      <w:r>
        <w:rPr>
          <w:rFonts w:hint="eastAsia"/>
          <w:lang w:val="en-US"/>
        </w:rPr>
        <w:t>本项目冬季工况的入口边界风速为</w:t>
      </w:r>
      <w:bookmarkStart w:id="74" w:name="冬季入口边界风速"/>
      <w:r>
        <w:rPr>
          <w:rFonts w:hint="eastAsia" w:ascii="Calibri" w:hAnsi="Calibri"/>
          <w:szCs w:val="21"/>
        </w:rPr>
        <w:t>3.20</w:t>
      </w:r>
      <w:bookmarkEnd w:id="74"/>
      <w:r>
        <w:rPr>
          <w:rFonts w:ascii="Calibri" w:hAnsi="Calibri"/>
          <w:szCs w:val="21"/>
        </w:rPr>
        <w:t>m/s</w:t>
      </w:r>
      <w:r>
        <w:rPr>
          <w:rFonts w:hint="eastAsia" w:ascii="Calibri" w:hAnsi="Calibri"/>
          <w:szCs w:val="21"/>
        </w:rPr>
        <w:t>，风向为</w:t>
      </w:r>
      <w:bookmarkStart w:id="75" w:name="冬季入口边界风向"/>
      <w:r>
        <w:rPr>
          <w:szCs w:val="21"/>
        </w:rPr>
        <w:t>NE</w:t>
      </w:r>
      <w:bookmarkEnd w:id="75"/>
      <w:r>
        <w:rPr>
          <w:rFonts w:hint="eastAsia"/>
          <w:szCs w:val="21"/>
        </w:rPr>
        <w:t>。</w:t>
      </w:r>
    </w:p>
    <w:p>
      <w:pPr>
        <w:pStyle w:val="5"/>
      </w:pPr>
      <w:bookmarkStart w:id="76" w:name="_Toc92117282"/>
      <w:bookmarkStart w:id="77" w:name="_Toc509844751"/>
      <w:r>
        <w:rPr>
          <w:rFonts w:hint="eastAsia"/>
        </w:rPr>
        <w:t>风速达标分析</w:t>
      </w:r>
      <w:bookmarkEnd w:id="76"/>
      <w:bookmarkEnd w:id="77"/>
      <w:r>
        <w:rPr>
          <w:rFonts w:hint="eastAsia"/>
        </w:rPr>
        <w:t xml:space="preserve"> </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bookmarkStart w:id="78" w:name="冬季工况风速分析结论"/>
      <w:bookmarkEnd w:id="78"/>
      <w:r>
        <w:rPr>
          <w:lang w:val="en-US"/>
        </w:rPr>
        <w:t>建筑周围</w:t>
      </w:r>
      <w:r>
        <w:rPr>
          <w:color w:val="00FF00"/>
          <w:lang w:val="en-US"/>
        </w:rPr>
        <w:t>没有</w:t>
      </w:r>
      <w:r>
        <w:rPr>
          <w:lang w:val="en-US"/>
        </w:rPr>
        <w:t>风速超限区域，</w:t>
      </w:r>
      <w:r>
        <w:rPr>
          <w:color w:val="00FF00"/>
          <w:lang w:val="en-US"/>
        </w:rPr>
        <w:t>可以</w:t>
      </w:r>
      <w:r>
        <w:rPr>
          <w:lang w:val="en-US"/>
        </w:rPr>
        <w:t>采用该建筑布局。</w:t>
      </w:r>
    </w:p>
    <w:p>
      <w:pPr>
        <w:pStyle w:val="3"/>
        <w:ind w:hanging="2" w:firstLineChars="0"/>
        <w:jc w:val="center"/>
        <w:rPr>
          <w:rFonts w:ascii="Calibri Light" w:hAnsi="Calibri Light" w:eastAsia="黑体"/>
          <w:sz w:val="20"/>
          <w:szCs w:val="20"/>
        </w:rPr>
      </w:pPr>
      <w:bookmarkStart w:id="79" w:name="冬季工况风速云图"/>
      <w:bookmarkEnd w:id="79"/>
      <w:r>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0"/>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80" w:name="_Toc509844752"/>
      <w:bookmarkStart w:id="81" w:name="_Toc92117283"/>
      <w:r>
        <w:rPr>
          <w:rFonts w:hint="eastAsia"/>
        </w:rPr>
        <w:t>风速放大系数达标分析</w:t>
      </w:r>
      <w:bookmarkEnd w:id="80"/>
      <w:bookmarkEnd w:id="81"/>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bookmarkStart w:id="82" w:name="冬季工况风速放大系数分析结论"/>
      <w:bookmarkEnd w:id="82"/>
      <w:r>
        <w:rPr>
          <w:lang w:val="en-US"/>
        </w:rPr>
        <w:t>建筑周围</w:t>
      </w:r>
      <w:r>
        <w:rPr>
          <w:color w:val="00FF00"/>
          <w:lang w:val="en-US"/>
        </w:rPr>
        <w:t>没有</w:t>
      </w:r>
      <w:r>
        <w:rPr>
          <w:lang w:val="en-US"/>
        </w:rPr>
        <w:t>风速放大系数超限区域，</w:t>
      </w:r>
      <w:r>
        <w:rPr>
          <w:color w:val="00FF00"/>
          <w:lang w:val="en-US"/>
        </w:rPr>
        <w:t>可以</w:t>
      </w:r>
      <w:r>
        <w:rPr>
          <w:lang w:val="en-US"/>
        </w:rPr>
        <w:t>采用该建筑布局。</w:t>
      </w:r>
    </w:p>
    <w:p>
      <w:pPr>
        <w:pStyle w:val="13"/>
        <w:jc w:val="center"/>
        <w:rPr>
          <w:lang w:val="en-US"/>
        </w:rPr>
      </w:pPr>
      <w:bookmarkStart w:id="83" w:name="冬季工况风速放大系数云图"/>
      <w:bookmarkEnd w:id="83"/>
      <w:r>
        <w:drawing>
          <wp:inline distT="0" distB="0" distL="0" distR="0">
            <wp:extent cx="5667375" cy="34766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84" w:name="_Toc509844753"/>
      <w:bookmarkStart w:id="85" w:name="_Toc92117284"/>
      <w:r>
        <w:rPr>
          <w:rFonts w:hint="eastAsia" w:cs="宋体"/>
          <w:lang w:val="en-GB"/>
        </w:rPr>
        <w:t>人行区域</w:t>
      </w:r>
      <w:r>
        <w:rPr>
          <w:rFonts w:hint="eastAsia"/>
        </w:rPr>
        <w:t>冬季工况风速/风速放大系数达标判定</w:t>
      </w:r>
      <w:bookmarkEnd w:id="84"/>
      <w:bookmarkEnd w:id="8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bookmarkStart w:id="86" w:name="冬季工况风速要求2019"/>
            <w:r>
              <w:rPr>
                <w:rFonts w:hint="eastAsia" w:ascii="宋体" w:hAnsi="宋体" w:cs="宋体"/>
                <w:szCs w:val="21"/>
              </w:rPr>
              <w:t xml:space="preserve">或 </w:t>
            </w:r>
            <w:r>
              <w:rPr>
                <w:rFonts w:ascii="宋体" w:hAnsi="宋体" w:cs="宋体"/>
                <w:szCs w:val="21"/>
              </w:rPr>
              <w:t>&lt;2m/s</w:t>
            </w:r>
            <w:bookmarkEnd w:id="86"/>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7" w:name="冬季工况风速是否有超限区域"/>
            <w:r>
              <w:rPr>
                <w:rFonts w:hint="eastAsia" w:ascii="宋体" w:hAnsi="宋体" w:cs="宋体"/>
                <w:color w:val="000000"/>
                <w:sz w:val="22"/>
                <w:szCs w:val="22"/>
                <w:lang w:val="en-US"/>
              </w:rPr>
              <w:t>否</w:t>
            </w:r>
            <w:bookmarkEnd w:id="8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8" w:name="冬季工况风速达标判断"/>
            <w:r>
              <w:rPr>
                <w:rFonts w:hint="eastAsia" w:ascii="宋体" w:hAnsi="宋体" w:cs="宋体"/>
                <w:color w:val="000000"/>
                <w:sz w:val="22"/>
                <w:szCs w:val="22"/>
                <w:lang w:val="en-US"/>
              </w:rPr>
              <w:t>是</w:t>
            </w:r>
            <w:bookmarkEnd w:id="88"/>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89" w:name="冬季工况风速放大系数是否有超限区域"/>
            <w:r>
              <w:rPr>
                <w:rFonts w:hint="eastAsia" w:ascii="宋体" w:hAnsi="宋体" w:cs="宋体"/>
                <w:color w:val="000000"/>
                <w:sz w:val="22"/>
                <w:szCs w:val="22"/>
                <w:lang w:val="en-US"/>
              </w:rPr>
              <w:t>否</w:t>
            </w:r>
            <w:bookmarkEnd w:id="89"/>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0" w:name="冬季工况风速放大系数达标判断"/>
            <w:r>
              <w:rPr>
                <w:rFonts w:hint="eastAsia" w:ascii="宋体" w:hAnsi="宋体" w:cs="宋体"/>
                <w:color w:val="000000"/>
                <w:sz w:val="22"/>
                <w:szCs w:val="22"/>
                <w:lang w:val="en-US"/>
              </w:rPr>
              <w:t>是</w:t>
            </w:r>
            <w:bookmarkEnd w:id="90"/>
          </w:p>
        </w:tc>
      </w:tr>
    </w:tbl>
    <w:p>
      <w:pPr>
        <w:pStyle w:val="5"/>
      </w:pPr>
      <w:bookmarkStart w:id="91" w:name="_Toc509844756"/>
      <w:bookmarkEnd w:id="91"/>
      <w:bookmarkStart w:id="92" w:name="_Toc509844755"/>
      <w:bookmarkEnd w:id="92"/>
      <w:bookmarkStart w:id="93" w:name="_Toc509844757"/>
      <w:bookmarkEnd w:id="93"/>
      <w:bookmarkStart w:id="94" w:name="_Toc509844754"/>
      <w:bookmarkEnd w:id="94"/>
      <w:bookmarkStart w:id="95" w:name="_Toc509844758"/>
      <w:bookmarkStart w:id="96" w:name="_Toc92117285"/>
      <w:r>
        <w:rPr>
          <w:rFonts w:hint="eastAsia"/>
        </w:rPr>
        <w:t>建筑迎风面和背风面风压分析</w:t>
      </w:r>
      <w:bookmarkEnd w:id="95"/>
      <w:bookmarkEnd w:id="9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97" w:name="冬季工况建筑迎风面风压云图"/>
      <w:bookmarkEnd w:id="97"/>
      <w:r>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3"/>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98" w:name="冬季工况建筑背风面风压云图"/>
      <w:bookmarkEnd w:id="98"/>
      <w: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4"/>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99"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00" w:name="建筑迎背风面风压差表_建筑名"/>
      <w:r>
        <w:rPr>
          <w:rFonts w:ascii="Cambria" w:hAnsi="Cambria" w:eastAsia="黑体"/>
          <w:sz w:val="20"/>
        </w:rPr>
        <w:t>DT单体(组合加单体2010)</w:t>
      </w:r>
      <w:bookmarkEnd w:id="100"/>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-1.32</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-1.10</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-0.22</w:t>
            </w:r>
          </w:p>
        </w:tc>
      </w:tr>
    </w:tbl>
    <w:p>
      <w:bookmarkStart w:id="101" w:name="结论"/>
      <w:bookmarkEnd w:id="101"/>
      <w:r>
        <w:t>结论：迎风第一排建筑，</w:t>
      </w:r>
      <w:r>
        <w:rPr>
          <w:b/>
          <w:color w:val="00FF00"/>
        </w:rPr>
        <w:t>标准未做要求</w:t>
      </w:r>
      <w:r>
        <w:t>。</w:t>
      </w:r>
    </w:p>
    <w:bookmarkEnd w:id="99"/>
    <w:p>
      <w:pPr>
        <w:jc w:val="center"/>
        <w:rPr>
          <w:rFonts w:ascii="Cambria" w:hAnsi="Cambria" w:eastAsia="黑体"/>
          <w:sz w:val="20"/>
        </w:rPr>
      </w:pPr>
      <w:bookmarkStart w:id="102" w:name="建筑迎背风面风压差表_新增"/>
      <w:bookmarkEnd w:id="102"/>
      <w:bookmarkStart w:id="103" w:name="建筑迎背风面风压差表"/>
    </w:p>
    <w:bookmarkEnd w:id="103"/>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0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DT单体(组合加单体2010)</w:t>
            </w:r>
          </w:p>
        </w:tc>
        <w:tc>
          <w:tcPr>
            <w:tcW w:w="1276" w:type="dxa"/>
            <w:shd w:val="clear" w:color="auto" w:fill="auto"/>
            <w:vAlign w:val="center"/>
          </w:tcPr>
          <w:p>
            <w:pPr>
              <w:jc w:val="center"/>
              <w:rPr>
                <w:lang w:val="en-US"/>
              </w:rPr>
            </w:pPr>
            <w:r>
              <w:rPr>
                <w:lang w:val="en-US"/>
              </w:rPr>
              <w:t>-1.32</w:t>
            </w:r>
          </w:p>
        </w:tc>
        <w:tc>
          <w:tcPr>
            <w:tcW w:w="1276" w:type="dxa"/>
            <w:shd w:val="clear" w:color="auto" w:fill="auto"/>
            <w:vAlign w:val="center"/>
          </w:tcPr>
          <w:p>
            <w:pPr>
              <w:jc w:val="center"/>
              <w:rPr>
                <w:lang w:val="en-US"/>
              </w:rPr>
            </w:pPr>
            <w:r>
              <w:rPr>
                <w:lang w:val="en-US"/>
              </w:rPr>
              <w:t>-1.10</w:t>
            </w:r>
          </w:p>
        </w:tc>
        <w:tc>
          <w:tcPr>
            <w:tcW w:w="1701" w:type="dxa"/>
            <w:shd w:val="clear" w:color="auto" w:fill="auto"/>
            <w:vAlign w:val="center"/>
          </w:tcPr>
          <w:p>
            <w:pPr>
              <w:jc w:val="center"/>
              <w:rPr>
                <w:lang w:val="en-US"/>
              </w:rPr>
            </w:pPr>
            <w:r>
              <w:rPr>
                <w:lang w:val="en-US"/>
              </w:rPr>
              <w:t>-0.22</w:t>
            </w:r>
          </w:p>
        </w:tc>
        <w:tc>
          <w:tcPr>
            <w:tcW w:w="973" w:type="dxa"/>
            <w:shd w:val="clear" w:color="auto" w:fill="auto"/>
            <w:vAlign w:val="center"/>
          </w:tcPr>
          <w:p>
            <w:pPr>
              <w:jc w:val="center"/>
              <w:rPr>
                <w:lang w:val="en-US"/>
              </w:rPr>
            </w:pPr>
            <w:r>
              <w:rPr>
                <w:lang w:val="en-US"/>
              </w:rPr>
              <w:t>不参评</w:t>
            </w:r>
          </w:p>
        </w:tc>
      </w:tr>
      <w:bookmarkEnd w:id="104"/>
    </w:tbl>
    <w:p>
      <w:pPr>
        <w:rPr>
          <w:lang w:val="en-US"/>
        </w:rPr>
      </w:pPr>
      <w:bookmarkStart w:id="105" w:name="建筑迎风和背风面风压差结论汇总结论"/>
      <w:bookmarkEnd w:id="105"/>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06" w:name="冬季工况"/>
      <w:bookmarkEnd w:id="106"/>
      <w:r>
        <w:rPr>
          <w:rFonts w:hint="eastAsia"/>
          <w:lang w:val="en-US"/>
        </w:rPr>
        <w:t xml:space="preserve"> </w:t>
      </w:r>
    </w:p>
    <w:p>
      <w:pPr>
        <w:pStyle w:val="4"/>
      </w:pPr>
      <w:bookmarkStart w:id="107" w:name="季节1"/>
      <w:bookmarkStart w:id="108" w:name="_Toc92117286"/>
      <w:bookmarkStart w:id="109" w:name="_Toc509844759"/>
      <w:r>
        <w:rPr>
          <w:rFonts w:hint="eastAsia"/>
        </w:rPr>
        <w:t>夏季</w:t>
      </w:r>
      <w:bookmarkEnd w:id="107"/>
      <w:r>
        <w:rPr>
          <w:rFonts w:hint="eastAsia"/>
        </w:rPr>
        <w:t>工况</w:t>
      </w:r>
      <w:bookmarkEnd w:id="108"/>
      <w:bookmarkEnd w:id="109"/>
    </w:p>
    <w:p>
      <w:pPr>
        <w:pStyle w:val="3"/>
        <w:ind w:firstLine="420"/>
      </w:pPr>
      <w:r>
        <w:rPr>
          <w:rFonts w:hint="eastAsia"/>
          <w:lang w:val="en-US"/>
        </w:rPr>
        <w:t>本项目</w:t>
      </w:r>
      <w:bookmarkStart w:id="110" w:name="季节2"/>
      <w:r>
        <w:rPr>
          <w:rFonts w:hint="eastAsia"/>
          <w:lang w:val="en-US"/>
        </w:rPr>
        <w:t>夏季</w:t>
      </w:r>
      <w:bookmarkEnd w:id="110"/>
      <w:r>
        <w:rPr>
          <w:rFonts w:hint="eastAsia"/>
          <w:lang w:val="en-US"/>
        </w:rPr>
        <w:t>工况的入口边界风速为</w:t>
      </w:r>
      <w:bookmarkStart w:id="111" w:name="入口边界风速"/>
      <w:r>
        <w:rPr>
          <w:rFonts w:hint="eastAsia"/>
          <w:lang w:val="en-US"/>
        </w:rPr>
        <w:t>3.00</w:t>
      </w:r>
      <w:bookmarkEnd w:id="111"/>
      <w:r>
        <w:rPr>
          <w:rFonts w:hint="eastAsia"/>
          <w:lang w:val="en-US"/>
        </w:rPr>
        <w:t>m/s，风向为</w:t>
      </w:r>
      <w:bookmarkStart w:id="112" w:name="入口边界风向"/>
      <w:r>
        <w:t>SSW</w:t>
      </w:r>
      <w:bookmarkEnd w:id="112"/>
      <w:r>
        <w:rPr>
          <w:rFonts w:hint="eastAsia"/>
          <w:lang w:val="en-US"/>
        </w:rPr>
        <w:t>。</w:t>
      </w:r>
    </w:p>
    <w:p>
      <w:pPr>
        <w:pStyle w:val="3"/>
        <w:ind w:firstLine="420"/>
      </w:pPr>
      <w:r>
        <w:rPr>
          <w:rFonts w:hint="eastAsia"/>
          <w:lang w:val="en-US"/>
        </w:rPr>
        <w:t>根据前述《绿色建筑评价标准》 对于夏季工况的要求，</w:t>
      </w:r>
      <w:bookmarkStart w:id="113" w:name="季节3"/>
      <w:r>
        <w:rPr>
          <w:rFonts w:hint="eastAsia"/>
          <w:lang w:val="en-US"/>
        </w:rPr>
        <w:t>夏季</w:t>
      </w:r>
      <w:bookmarkEnd w:id="113"/>
      <w:r>
        <w:rPr>
          <w:rFonts w:hint="eastAsia"/>
          <w:lang w:val="en-US"/>
        </w:rPr>
        <w:t>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16" w:name="_Toc509844760"/>
      <w:bookmarkStart w:id="117" w:name="_Toc92117287"/>
      <w:r>
        <w:rPr>
          <w:rFonts w:hint="eastAsia"/>
        </w:rPr>
        <w:t>无风区计算分析</w:t>
      </w:r>
      <w:bookmarkEnd w:id="116"/>
      <w:bookmarkEnd w:id="117"/>
    </w:p>
    <w:p>
      <w:pPr>
        <w:pStyle w:val="3"/>
        <w:tabs>
          <w:tab w:val="left" w:pos="426"/>
        </w:tabs>
        <w:ind w:firstLine="420"/>
      </w:pPr>
      <w:r>
        <w:rPr>
          <w:rFonts w:hint="eastAsia"/>
        </w:rPr>
        <w:t>下图为整个计算域内风速分布云图，参考图中速度分布可以对项目中建筑布局进行优化。分析下图，</w:t>
      </w:r>
      <w:bookmarkStart w:id="118" w:name="风速分析结论"/>
      <w:bookmarkEnd w:id="118"/>
      <w:r>
        <w:t>黑色等值线标示出了</w:t>
      </w:r>
      <w:r>
        <w:t>人行区内风速小于0.2m/s的超限区域，因此满足绿标要求，需调整建筑布局优化区域内风速分布。</w:t>
      </w:r>
    </w:p>
    <w:p>
      <w:pPr>
        <w:pStyle w:val="3"/>
        <w:spacing w:after="156" w:afterLines="50"/>
        <w:ind w:firstLine="0" w:firstLineChars="0"/>
        <w:jc w:val="center"/>
      </w:pPr>
      <w:bookmarkStart w:id="119" w:name="风速云图"/>
      <w:bookmarkEnd w:id="119"/>
      <w:r>
        <w:drawing>
          <wp:inline distT="0" distB="0" distL="0" distR="0">
            <wp:extent cx="5667375" cy="3486150"/>
            <wp:effectExtent l="0" t="0" r="1905"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5"/>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w:t>
      </w:r>
      <w:bookmarkStart w:id="120" w:name="季节7"/>
      <w:r>
        <w:rPr>
          <w:rFonts w:hint="eastAsia" w:ascii="黑体" w:hAnsi="黑体" w:eastAsia="黑体"/>
          <w:sz w:val="20"/>
          <w:szCs w:val="20"/>
        </w:rPr>
        <w:t>夏季</w:t>
      </w:r>
      <w:bookmarkEnd w:id="120"/>
    </w:p>
    <w:p>
      <w:pPr>
        <w:pStyle w:val="5"/>
      </w:pPr>
      <w:bookmarkStart w:id="121" w:name="_Toc509844761"/>
      <w:bookmarkStart w:id="122" w:name="_Toc92117288"/>
      <w:r>
        <w:rPr>
          <w:rFonts w:hint="eastAsia"/>
        </w:rPr>
        <w:t>旋涡区分析</w:t>
      </w:r>
      <w:bookmarkEnd w:id="121"/>
      <w:bookmarkEnd w:id="122"/>
    </w:p>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23" w:name="风速矢量图"/>
      <w:bookmarkEnd w:id="123"/>
      <w:bookmarkStart w:id="161" w:name="_GoBack"/>
      <w:r>
        <w:drawing>
          <wp:inline distT="0" distB="0" distL="0" distR="0">
            <wp:extent cx="5667375" cy="3667125"/>
            <wp:effectExtent l="0" t="0" r="1905"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6"/>
                    <a:stretch>
                      <a:fillRect/>
                    </a:stretch>
                  </pic:blipFill>
                  <pic:spPr>
                    <a:xfrm>
                      <a:off x="0" y="0"/>
                      <a:ext cx="5667375" cy="3667125"/>
                    </a:xfrm>
                    <a:prstGeom prst="rect">
                      <a:avLst/>
                    </a:prstGeom>
                  </pic:spPr>
                </pic:pic>
              </a:graphicData>
            </a:graphic>
          </wp:inline>
        </w:drawing>
      </w:r>
      <w:bookmarkEnd w:id="16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124" w:name="_Toc509844762"/>
      <w:bookmarkStart w:id="125" w:name="_Toc92117289"/>
      <w:r>
        <w:rPr>
          <w:rFonts w:hint="eastAsia"/>
        </w:rPr>
        <w:t>人行区域旋涡区/无风区达标判定</w:t>
      </w:r>
      <w:bookmarkEnd w:id="124"/>
      <w:bookmarkEnd w:id="12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6" w:name="季节8"/>
      <w:r>
        <w:rPr>
          <w:rFonts w:hint="eastAsia" w:ascii="黑体" w:hAnsi="黑体" w:eastAsia="黑体"/>
          <w:sz w:val="20"/>
          <w:szCs w:val="20"/>
        </w:rPr>
        <w:t>夏季</w:t>
      </w:r>
      <w:bookmarkEnd w:id="12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27" w:name="是否有无风区"/>
            <w:r>
              <w:rPr>
                <w:rFonts w:hint="eastAsia" w:ascii="宋体" w:hAnsi="宋体" w:cs="宋体"/>
                <w:color w:val="000000"/>
                <w:sz w:val="22"/>
                <w:szCs w:val="22"/>
                <w:lang w:val="en-US"/>
              </w:rPr>
              <w:t>是</w:t>
            </w:r>
            <w:bookmarkEnd w:id="127"/>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28" w:name="_Toc504501018"/>
      <w:bookmarkStart w:id="129" w:name="_Toc509844763"/>
      <w:bookmarkStart w:id="130" w:name="_Toc92117290"/>
      <w:r>
        <w:rPr>
          <w:rFonts w:hint="eastAsia"/>
        </w:rPr>
        <w:t>外窗内外表面风压</w:t>
      </w:r>
      <w:bookmarkEnd w:id="128"/>
      <w:r>
        <w:rPr>
          <w:rFonts w:hint="eastAsia"/>
        </w:rPr>
        <w:t>差达标分析</w:t>
      </w:r>
      <w:bookmarkEnd w:id="129"/>
      <w:bookmarkEnd w:id="130"/>
    </w:p>
    <w:p>
      <w:pPr>
        <w:pStyle w:val="3"/>
        <w:ind w:firstLine="420"/>
      </w:pPr>
      <w:r>
        <w:rPr>
          <w:rFonts w:hint="eastAsia"/>
          <w:lang w:val="en-US"/>
        </w:rPr>
        <w:t>分析《绿色建筑评价标准》，</w:t>
      </w:r>
      <w:bookmarkStart w:id="131" w:name="季节9"/>
      <w:r>
        <w:rPr>
          <w:rFonts w:hint="eastAsia"/>
          <w:lang w:val="en-US"/>
        </w:rPr>
        <w:t>夏季</w:t>
      </w:r>
      <w:bookmarkEnd w:id="13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32" w:name="迎风面风压云图"/>
      <w:bookmarkEnd w:id="132"/>
      <w:r>
        <w:drawing>
          <wp:inline distT="0" distB="0" distL="0" distR="0">
            <wp:extent cx="5667375" cy="3619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7"/>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3" w:name="季节10"/>
      <w:r>
        <w:rPr>
          <w:rFonts w:hint="eastAsia" w:ascii="黑体" w:hAnsi="黑体" w:eastAsia="黑体"/>
          <w:sz w:val="20"/>
          <w:szCs w:val="20"/>
        </w:rPr>
        <w:t>夏季</w:t>
      </w:r>
      <w:bookmarkEnd w:id="133"/>
    </w:p>
    <w:p>
      <w:pPr>
        <w:pStyle w:val="13"/>
        <w:jc w:val="center"/>
      </w:pPr>
      <w:bookmarkStart w:id="134" w:name="背风面风压云图"/>
      <w:bookmarkEnd w:id="134"/>
      <w:r>
        <w:drawing>
          <wp:inline distT="0" distB="0" distL="0" distR="0">
            <wp:extent cx="5667375" cy="36385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8"/>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35" w:name="季节11"/>
      <w:r>
        <w:rPr>
          <w:rFonts w:hint="eastAsia" w:ascii="黑体" w:hAnsi="黑体" w:eastAsia="黑体"/>
          <w:sz w:val="20"/>
          <w:szCs w:val="20"/>
        </w:rPr>
        <w:t>夏季</w:t>
      </w:r>
      <w:bookmarkEnd w:id="135"/>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DT单体(组合加单体2010)</w:t>
            </w:r>
          </w:p>
        </w:tc>
        <w:tc>
          <w:tcPr>
            <w:tcW w:w="1134" w:type="dxa"/>
            <w:shd w:val="clear" w:color="auto" w:fill="auto"/>
            <w:vAlign w:val="center"/>
          </w:tcPr>
          <w:p>
            <w:pPr>
              <w:jc w:val="center"/>
              <w:rPr>
                <w:lang w:val="en-US"/>
              </w:rPr>
            </w:pPr>
            <w:r>
              <w:rPr>
                <w:lang w:val="en-US"/>
              </w:rPr>
              <w:t>168</w:t>
            </w:r>
          </w:p>
        </w:tc>
        <w:tc>
          <w:tcPr>
            <w:tcW w:w="1984" w:type="dxa"/>
            <w:shd w:val="clear" w:color="auto" w:fill="auto"/>
            <w:vAlign w:val="center"/>
          </w:tcPr>
          <w:p>
            <w:pPr>
              <w:jc w:val="center"/>
              <w:rPr>
                <w:lang w:val="en-US"/>
              </w:rPr>
            </w:pPr>
            <w:r>
              <w:rPr>
                <w:lang w:val="en-US"/>
              </w:rPr>
              <w:t>92</w:t>
            </w:r>
          </w:p>
        </w:tc>
        <w:tc>
          <w:tcPr>
            <w:tcW w:w="1116" w:type="dxa"/>
            <w:shd w:val="clear" w:color="auto" w:fill="auto"/>
            <w:vAlign w:val="center"/>
          </w:tcPr>
          <w:p>
            <w:pPr>
              <w:jc w:val="center"/>
              <w:rPr>
                <w:lang w:val="en-US"/>
              </w:rPr>
            </w:pPr>
            <w:r>
              <w:rPr>
                <w:lang w:val="en-US"/>
              </w:rPr>
              <w:t>54.76</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36" w:name="建筑外窗室内外风压差达标判定"/>
      <w:bookmarkEnd w:id="136"/>
    </w:p>
    <w:p/>
    <w:p>
      <w:pPr>
        <w:rPr>
          <w:lang w:val="en-US"/>
        </w:rPr>
      </w:pPr>
      <w:bookmarkStart w:id="137" w:name="建筑室内外风压差达标判定结论"/>
      <w:r>
        <w:rPr>
          <w:rFonts w:hint="eastAsia"/>
          <w:lang w:val="en-US"/>
        </w:rPr>
        <w:t>结论：本项目中所有建筑均满足“50%以上可开启外窗室内外表面的风压差大于0.5Pa”的要求。</w:t>
      </w:r>
      <w:bookmarkEnd w:id="137"/>
      <w:r>
        <w:rPr>
          <w:rFonts w:hint="eastAsia"/>
          <w:lang w:val="en-US"/>
        </w:rPr>
        <w:t xml:space="preserve"> </w:t>
      </w:r>
    </w:p>
    <w:p>
      <w:pPr>
        <w:rPr>
          <w:lang w:val="en-US"/>
        </w:rPr>
      </w:pPr>
      <w:bookmarkStart w:id="138" w:name="其他工况"/>
      <w:bookmarkEnd w:id="138"/>
      <w:r>
        <w:rPr>
          <w:rFonts w:hint="eastAsia"/>
          <w:lang w:val="en-US"/>
        </w:rPr>
        <w:t xml:space="preserve"> </w:t>
      </w:r>
    </w:p>
    <w:p>
      <w:pPr>
        <w:pStyle w:val="4"/>
      </w:pPr>
      <w:bookmarkStart w:id="139" w:name="_Toc92117291"/>
      <w:bookmarkStart w:id="140" w:name="_Toc509844764"/>
      <w:r>
        <w:rPr>
          <w:rFonts w:hint="eastAsia"/>
        </w:rPr>
        <w:t>结论</w:t>
      </w:r>
      <w:bookmarkEnd w:id="139"/>
      <w:bookmarkEnd w:id="140"/>
    </w:p>
    <w:p>
      <w:pPr>
        <w:pStyle w:val="5"/>
      </w:pPr>
      <w:bookmarkStart w:id="141" w:name="_Toc92117292"/>
      <w:bookmarkStart w:id="142" w:name="_Toc509844765"/>
      <w:r>
        <w:rPr>
          <w:rFonts w:hint="eastAsia"/>
        </w:rPr>
        <w:t>冬季工况达标判断</w:t>
      </w:r>
      <w:bookmarkEnd w:id="141"/>
      <w:bookmarkEnd w:id="142"/>
      <w:bookmarkStart w:id="143" w:name="_Toc509844766"/>
      <w:bookmarkEnd w:id="14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44" w:name="冬季风速结果"/>
            <w:r>
              <w:t>没有出现</w:t>
            </w:r>
            <w:bookmarkEnd w:id="144"/>
            <w:r>
              <w:rPr>
                <w:rFonts w:hint="eastAsia"/>
                <w:lang w:val="en-US"/>
              </w:rPr>
              <w:t>风速大于</w:t>
            </w:r>
            <w:r>
              <w:rPr>
                <w:lang w:val="en-US"/>
              </w:rPr>
              <w:t>5m/s</w:t>
            </w:r>
            <w:r>
              <w:rPr>
                <w:rFonts w:hint="eastAsia"/>
                <w:lang w:val="en-US"/>
              </w:rPr>
              <w:t>的区域，户外休息区、儿童娱乐区</w:t>
            </w:r>
            <w:bookmarkStart w:id="145" w:name="冬季风速结果2"/>
            <w:r>
              <w:t>没有出现</w:t>
            </w:r>
            <w:bookmarkEnd w:id="145"/>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bookmarkStart w:id="146" w:name="冬季风速达标判定"/>
            <w:r>
              <w:rPr>
                <w:rFonts w:hint="eastAsia"/>
                <w:b/>
                <w:lang w:val="en-US"/>
              </w:rPr>
              <w:t>达标</w:t>
            </w:r>
            <w:bookmarkEnd w:id="146"/>
          </w:p>
        </w:tc>
        <w:tc>
          <w:tcPr>
            <w:tcW w:w="1416" w:type="dxa"/>
            <w:vMerge w:val="restart"/>
            <w:tcBorders>
              <w:top w:val="single" w:color="auto" w:sz="4" w:space="0"/>
            </w:tcBorders>
            <w:shd w:val="clear" w:color="auto" w:fill="auto"/>
            <w:vAlign w:val="center"/>
          </w:tcPr>
          <w:p>
            <w:pPr>
              <w:jc w:val="center"/>
              <w:rPr>
                <w:lang w:val="en-US"/>
              </w:rPr>
            </w:pPr>
            <w:bookmarkStart w:id="147" w:name="冬季风速得分"/>
            <w:r>
              <w:rPr>
                <w:rFonts w:hint="eastAsia"/>
                <w:lang w:val="en-US"/>
              </w:rPr>
              <w:t>3</w:t>
            </w:r>
            <w:bookmarkEnd w:id="14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bookmarkStart w:id="148" w:name="冬季风速放大系数结果"/>
            <w:r>
              <w:t>没有出现</w:t>
            </w:r>
            <w:bookmarkEnd w:id="148"/>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bookmarkStart w:id="149" w:name="冬季迎背风面结果"/>
            <w:r>
              <w:t>没有出现</w:t>
            </w:r>
            <w:bookmarkEnd w:id="149"/>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50" w:name="冬季迎背风面达标判定"/>
            <w:r>
              <w:rPr>
                <w:rFonts w:hint="eastAsia"/>
                <w:b/>
                <w:lang w:val="en-US"/>
              </w:rPr>
              <w:t>达标</w:t>
            </w:r>
            <w:bookmarkEnd w:id="150"/>
          </w:p>
        </w:tc>
        <w:tc>
          <w:tcPr>
            <w:tcW w:w="1416" w:type="dxa"/>
            <w:shd w:val="clear" w:color="auto" w:fill="auto"/>
            <w:vAlign w:val="center"/>
          </w:tcPr>
          <w:p>
            <w:pPr>
              <w:jc w:val="center"/>
              <w:rPr>
                <w:lang w:val="en-US"/>
              </w:rPr>
            </w:pPr>
            <w:bookmarkStart w:id="151" w:name="冬季迎背风面得分"/>
            <w:r>
              <w:rPr>
                <w:rFonts w:hint="eastAsia"/>
                <w:lang w:val="en-US"/>
              </w:rPr>
              <w:t>2</w:t>
            </w:r>
            <w:bookmarkEnd w:id="151"/>
            <w:r>
              <w:rPr>
                <w:rFonts w:hint="eastAsia"/>
                <w:lang w:val="en-US"/>
              </w:rPr>
              <w:t>分</w:t>
            </w:r>
          </w:p>
        </w:tc>
      </w:tr>
    </w:tbl>
    <w:p>
      <w:pPr>
        <w:rPr>
          <w:szCs w:val="21"/>
          <w:lang w:val="en-US"/>
        </w:rPr>
      </w:pPr>
    </w:p>
    <w:p>
      <w:pPr>
        <w:pStyle w:val="5"/>
      </w:pPr>
      <w:bookmarkStart w:id="152" w:name="_Toc509844767"/>
      <w:bookmarkEnd w:id="152"/>
      <w:bookmarkStart w:id="153" w:name="_Toc509844768"/>
      <w:bookmarkEnd w:id="153"/>
      <w:bookmarkStart w:id="154" w:name="_Toc509844769"/>
      <w:bookmarkStart w:id="155" w:name="_Toc92117293"/>
      <w:r>
        <w:rPr>
          <w:rFonts w:hint="eastAsia"/>
        </w:rPr>
        <w:t>过渡季、夏季工况达标判断</w:t>
      </w:r>
      <w:bookmarkEnd w:id="154"/>
      <w:bookmarkEnd w:id="155"/>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bookmarkStart w:id="156" w:name="夏季无风区结果"/>
            <w:r>
              <w:rPr>
                <w:rFonts w:hint="eastAsia"/>
                <w:lang w:val="en-US"/>
              </w:rPr>
              <w:t>有</w:t>
            </w:r>
            <w:bookmarkEnd w:id="156"/>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57" w:name="夏季无风区达标判定"/>
            <w:r>
              <w:rPr>
                <w:rFonts w:hint="eastAsia"/>
                <w:b/>
                <w:lang w:val="en-US"/>
              </w:rPr>
              <w:t>达</w:t>
            </w:r>
            <w:r>
              <w:rPr>
                <w:rFonts w:hint="eastAsia"/>
                <w:b/>
                <w:lang w:val="en-US"/>
              </w:rPr>
              <w:t>标</w:t>
            </w:r>
            <w:bookmarkEnd w:id="157"/>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eastAsia="zh-CN"/>
              </w:rPr>
              <w:t>3</w:t>
            </w:r>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58" w:name="夏季窗内外风压差结果"/>
            <w:r>
              <w:rPr>
                <w:rFonts w:hint="eastAsia"/>
                <w:lang w:val="en-US"/>
              </w:rPr>
              <w:t>满足</w:t>
            </w:r>
            <w:bookmarkEnd w:id="158"/>
            <w:r>
              <w:rPr>
                <w:rFonts w:hint="eastAsia"/>
                <w:lang w:val="en-US"/>
              </w:rPr>
              <w:t>标准要求</w:t>
            </w:r>
          </w:p>
        </w:tc>
        <w:tc>
          <w:tcPr>
            <w:tcW w:w="1985" w:type="dxa"/>
            <w:shd w:val="clear" w:color="auto" w:fill="auto"/>
            <w:vAlign w:val="center"/>
          </w:tcPr>
          <w:p>
            <w:pPr>
              <w:jc w:val="center"/>
              <w:rPr>
                <w:b/>
                <w:lang w:val="en-US"/>
              </w:rPr>
            </w:pPr>
            <w:bookmarkStart w:id="159" w:name="夏季窗内外风压差达标判定"/>
            <w:r>
              <w:rPr>
                <w:rFonts w:hint="eastAsia"/>
                <w:b/>
                <w:lang w:val="en-US"/>
              </w:rPr>
              <w:t>达标</w:t>
            </w:r>
            <w:bookmarkEnd w:id="159"/>
          </w:p>
        </w:tc>
        <w:tc>
          <w:tcPr>
            <w:tcW w:w="1416" w:type="dxa"/>
            <w:shd w:val="clear" w:color="auto" w:fill="auto"/>
            <w:vAlign w:val="center"/>
          </w:tcPr>
          <w:p>
            <w:pPr>
              <w:jc w:val="center"/>
              <w:rPr>
                <w:lang w:val="en-US"/>
              </w:rPr>
            </w:pPr>
            <w:bookmarkStart w:id="160" w:name="夏季窗内外风压差得分"/>
            <w:r>
              <w:rPr>
                <w:rFonts w:hint="eastAsia"/>
                <w:lang w:val="en-US"/>
              </w:rPr>
              <w:t>2</w:t>
            </w:r>
            <w:bookmarkEnd w:id="160"/>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r>
        <w:rPr>
          <w:rFonts w:hint="eastAsia"/>
          <w:lang w:val="en-US" w:eastAsia="zh-CN"/>
        </w:rPr>
        <w:t>10</w:t>
      </w:r>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FB0"/>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45571"/>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34FB0"/>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038AF"/>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199B21E2"/>
    <w:rsid w:val="2AD23A30"/>
    <w:rsid w:val="50E8182E"/>
    <w:rsid w:val="5CF958A0"/>
    <w:rsid w:val="5D971AA4"/>
    <w:rsid w:val="76682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tmp1</Template>
  <Company>ths</Company>
  <Pages>22</Pages>
  <Words>1670</Words>
  <Characters>9522</Characters>
  <Lines>79</Lines>
  <Paragraphs>22</Paragraphs>
  <TotalTime>0</TotalTime>
  <ScaleCrop>false</ScaleCrop>
  <LinksUpToDate>false</LinksUpToDate>
  <CharactersWithSpaces>11170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2022-01-03T07:47:00Z</dcterms:created>
  <dc:creator>11</dc:creator>
  <cp:lastModifiedBy>minzili999</cp:lastModifiedBy>
  <cp:lastPrinted>1900-12-31T16:00:00Z</cp:lastPrinted>
  <dcterms:modified xsi:type="dcterms:W3CDTF">2022-01-04T05:48:51Z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86C5994C80334A71AB2E841EB4804290</vt:lpwstr>
  </property>
</Properties>
</file>