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w:t>
      </w:r>
      <w:r>
        <w:rPr>
          <w:rFonts w:ascii="黑体" w:hAnsi="宋体" w:eastAsia="黑体"/>
          <w:b/>
          <w:bCs/>
          <w:sz w:val="72"/>
          <w:szCs w:val="72"/>
        </w:rPr>
        <w:t>设计</w:t>
      </w:r>
      <w:r>
        <w:rPr>
          <w:rFonts w:hint="eastAsia" w:ascii="黑体" w:hAnsi="宋体" w:eastAsia="黑体"/>
          <w:b/>
          <w:bCs/>
          <w:sz w:val="72"/>
          <w:szCs w:val="72"/>
        </w:rPr>
        <w:t>报告书</w:t>
      </w:r>
    </w:p>
    <w:p>
      <w:pPr>
        <w:pStyle w:val="19"/>
        <w:rPr>
          <w:lang w:val="en-US"/>
        </w:rPr>
      </w:pPr>
      <w:r>
        <w:rPr>
          <w:rFonts w:hint="eastAsia"/>
          <w:lang w:val="en-US"/>
        </w:rPr>
        <w:t>（评价</w:t>
      </w:r>
      <w:r>
        <w:rPr>
          <w:lang w:val="en-US"/>
        </w:rPr>
        <w:t>性设计</w:t>
      </w:r>
      <w:r>
        <w:rPr>
          <w:rFonts w:hint="eastAsia"/>
          <w:lang w:val="en-US"/>
        </w:rPr>
        <w:t>）</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荆沙</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bookmarkEnd w:id="5"/>
          </w:p>
        </w:tc>
      </w:tr>
    </w:tbl>
    <w:p>
      <w:pPr>
        <w:rPr>
          <w:rFonts w:ascii="宋体" w:hAnsi="宋体"/>
          <w:lang w:val="en-US"/>
        </w:rPr>
      </w:pPr>
    </w:p>
    <w:p>
      <w:pPr>
        <w:jc w:val="center"/>
        <w:rPr>
          <w:rFonts w:ascii="宋体" w:hAnsi="宋体"/>
          <w:lang w:val="en-US"/>
        </w:rPr>
      </w:pPr>
      <w:bookmarkStart w:id="6" w:name="二维码"/>
      <w:bookmarkEnd w:id="6"/>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住区热环境TERA2020</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t>20200505(SP1)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T15897709891</w:t>
            </w:r>
            <w:bookmarkEnd w:id="9"/>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rPr>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"_Toc16494746" </w:instrText>
      </w:r>
      <w:r>
        <w:fldChar w:fldCharType="separate"/>
      </w:r>
      <w:r>
        <w:rPr>
          <w:rStyle w:val="25"/>
        </w:rPr>
        <w:t>1</w:t>
      </w:r>
      <w:r>
        <w:rPr>
          <w:rFonts w:asciiTheme="minorHAnsi" w:hAnsiTheme="minorHAnsi" w:eastAsiaTheme="minorEastAsia" w:cstheme="minorBidi"/>
          <w:b w:val="0"/>
          <w:bCs w:val="0"/>
          <w:szCs w:val="22"/>
        </w:rPr>
        <w:tab/>
      </w:r>
      <w:r>
        <w:rPr>
          <w:rStyle w:val="25"/>
          <w:rFonts w:hint="eastAsia"/>
        </w:rPr>
        <w:t>住区概况</w:t>
      </w:r>
      <w:r>
        <w:tab/>
      </w:r>
      <w:r>
        <w:fldChar w:fldCharType="begin"/>
      </w:r>
      <w:r>
        <w:instrText xml:space="preserve"> PAGEREF _Toc16494746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"_Toc16494747" </w:instrText>
      </w:r>
      <w:r>
        <w:fldChar w:fldCharType="separate"/>
      </w:r>
      <w:r>
        <w:rPr>
          <w:rStyle w:val="25"/>
        </w:rPr>
        <w:t>2</w:t>
      </w:r>
      <w:r>
        <w:rPr>
          <w:rFonts w:asciiTheme="minorHAnsi" w:hAnsiTheme="minorHAnsi" w:eastAsiaTheme="minorEastAsia" w:cstheme="minorBidi"/>
          <w:b w:val="0"/>
          <w:bCs w:val="0"/>
          <w:szCs w:val="22"/>
        </w:rPr>
        <w:tab/>
      </w:r>
      <w:r>
        <w:rPr>
          <w:rStyle w:val="25"/>
          <w:rFonts w:hint="eastAsia"/>
        </w:rPr>
        <w:t>标准依据</w:t>
      </w:r>
      <w:r>
        <w:tab/>
      </w:r>
      <w:r>
        <w:fldChar w:fldCharType="begin"/>
      </w:r>
      <w:r>
        <w:instrText xml:space="preserve"> PAGEREF _Toc16494747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"_Toc16494748" </w:instrText>
      </w:r>
      <w:r>
        <w:fldChar w:fldCharType="separate"/>
      </w:r>
      <w:r>
        <w:rPr>
          <w:rStyle w:val="25"/>
        </w:rPr>
        <w:t>3</w:t>
      </w:r>
      <w:r>
        <w:rPr>
          <w:rFonts w:asciiTheme="minorHAnsi" w:hAnsiTheme="minorHAnsi" w:eastAsiaTheme="minorEastAsia" w:cstheme="minorBidi"/>
          <w:b w:val="0"/>
          <w:bCs w:val="0"/>
          <w:szCs w:val="22"/>
        </w:rPr>
        <w:tab/>
      </w:r>
      <w:r>
        <w:rPr>
          <w:rStyle w:val="25"/>
          <w:rFonts w:hint="eastAsia"/>
        </w:rPr>
        <w:t>计算方法</w:t>
      </w:r>
      <w:r>
        <w:tab/>
      </w:r>
      <w:r>
        <w:fldChar w:fldCharType="begin"/>
      </w:r>
      <w:r>
        <w:instrText xml:space="preserve"> PAGEREF _Toc16494748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"_Toc16494749" </w:instrText>
      </w:r>
      <w:r>
        <w:fldChar w:fldCharType="separate"/>
      </w:r>
      <w:r>
        <w:rPr>
          <w:rStyle w:val="25"/>
        </w:rPr>
        <w:t>4</w:t>
      </w:r>
      <w:r>
        <w:rPr>
          <w:rFonts w:asciiTheme="minorHAnsi" w:hAnsiTheme="minorHAnsi" w:eastAsiaTheme="minorEastAsia" w:cstheme="minorBidi"/>
          <w:b w:val="0"/>
          <w:bCs w:val="0"/>
          <w:szCs w:val="22"/>
        </w:rPr>
        <w:tab/>
      </w:r>
      <w:r>
        <w:rPr>
          <w:rStyle w:val="25"/>
          <w:rFonts w:hint="eastAsia"/>
        </w:rPr>
        <w:t>计算参数</w:t>
      </w:r>
      <w:r>
        <w:tab/>
      </w:r>
      <w:r>
        <w:fldChar w:fldCharType="begin"/>
      </w:r>
      <w:r>
        <w:instrText xml:space="preserve"> PAGEREF _Toc16494749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"_Toc16494750" </w:instrText>
      </w:r>
      <w:r>
        <w:fldChar w:fldCharType="separate"/>
      </w:r>
      <w:r>
        <w:rPr>
          <w:rStyle w:val="25"/>
          <w:lang w:val="en-GB"/>
        </w:rPr>
        <w:t>4.1</w:t>
      </w:r>
      <w:r>
        <w:rPr>
          <w:rFonts w:asciiTheme="minorHAnsi" w:hAnsiTheme="minorHAnsi" w:eastAsiaTheme="minorEastAsia" w:cstheme="minorBidi"/>
          <w:szCs w:val="22"/>
        </w:rPr>
        <w:tab/>
      </w:r>
      <w:r>
        <w:rPr>
          <w:rStyle w:val="25"/>
          <w:rFonts w:hint="eastAsia"/>
        </w:rPr>
        <w:t>典型气象日气象参数</w:t>
      </w:r>
      <w:r>
        <w:tab/>
      </w:r>
      <w:r>
        <w:fldChar w:fldCharType="begin"/>
      </w:r>
      <w:r>
        <w:instrText xml:space="preserve"> PAGEREF _Toc16494750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"_Toc16494751" </w:instrText>
      </w:r>
      <w:r>
        <w:fldChar w:fldCharType="separate"/>
      </w:r>
      <w:r>
        <w:rPr>
          <w:rStyle w:val="25"/>
          <w:lang w:val="en-GB"/>
        </w:rPr>
        <w:t>4.2</w:t>
      </w:r>
      <w:r>
        <w:rPr>
          <w:rFonts w:asciiTheme="minorHAnsi" w:hAnsiTheme="minorHAnsi" w:eastAsiaTheme="minorEastAsia" w:cstheme="minorBidi"/>
          <w:szCs w:val="22"/>
        </w:rPr>
        <w:tab/>
      </w:r>
      <w:r>
        <w:rPr>
          <w:rStyle w:val="25"/>
          <w:rFonts w:hint="eastAsia"/>
        </w:rPr>
        <w:t>渗透面夏季逐时蒸发量</w:t>
      </w:r>
      <w:r>
        <w:tab/>
      </w:r>
      <w:r>
        <w:fldChar w:fldCharType="begin"/>
      </w:r>
      <w:r>
        <w:instrText xml:space="preserve"> PAGEREF _Toc16494751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"_Toc16494752" </w:instrText>
      </w:r>
      <w:r>
        <w:fldChar w:fldCharType="separate"/>
      </w:r>
      <w:r>
        <w:rPr>
          <w:rStyle w:val="25"/>
        </w:rPr>
        <w:t>5</w:t>
      </w:r>
      <w:r>
        <w:rPr>
          <w:rFonts w:asciiTheme="minorHAnsi" w:hAnsiTheme="minorHAnsi" w:eastAsiaTheme="minorEastAsia" w:cstheme="minorBidi"/>
          <w:b w:val="0"/>
          <w:bCs w:val="0"/>
          <w:szCs w:val="22"/>
        </w:rPr>
        <w:tab/>
      </w:r>
      <w:r>
        <w:rPr>
          <w:rStyle w:val="25"/>
          <w:rFonts w:hint="eastAsia"/>
        </w:rPr>
        <w:t>指标概览</w:t>
      </w:r>
      <w:r>
        <w:tab/>
      </w:r>
      <w:r>
        <w:fldChar w:fldCharType="begin"/>
      </w:r>
      <w:r>
        <w:instrText xml:space="preserve"> PAGEREF _Toc16494752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"_Toc16494753" </w:instrText>
      </w:r>
      <w:r>
        <w:fldChar w:fldCharType="separate"/>
      </w:r>
      <w:r>
        <w:rPr>
          <w:rStyle w:val="25"/>
          <w:lang w:val="en-GB"/>
        </w:rPr>
        <w:t>5.1</w:t>
      </w:r>
      <w:r>
        <w:rPr>
          <w:rFonts w:asciiTheme="minorHAnsi" w:hAnsiTheme="minorHAnsi" w:eastAsiaTheme="minorEastAsia" w:cstheme="minorBidi"/>
          <w:szCs w:val="22"/>
        </w:rPr>
        <w:tab/>
      </w:r>
      <w:r>
        <w:rPr>
          <w:rStyle w:val="25"/>
          <w:rFonts w:hint="eastAsia"/>
        </w:rPr>
        <w:t>建筑列表</w:t>
      </w:r>
      <w:r>
        <w:tab/>
      </w:r>
      <w:r>
        <w:fldChar w:fldCharType="begin"/>
      </w:r>
      <w:r>
        <w:instrText xml:space="preserve"> PAGEREF _Toc16494753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"_Toc16494754" </w:instrText>
      </w:r>
      <w:r>
        <w:fldChar w:fldCharType="separate"/>
      </w:r>
      <w:r>
        <w:rPr>
          <w:rStyle w:val="25"/>
          <w:lang w:val="en-GB"/>
        </w:rPr>
        <w:t>5.2</w:t>
      </w:r>
      <w:r>
        <w:rPr>
          <w:rFonts w:asciiTheme="minorHAnsi" w:hAnsiTheme="minorHAnsi" w:eastAsiaTheme="minorEastAsia" w:cstheme="minorBidi"/>
          <w:szCs w:val="22"/>
        </w:rPr>
        <w:tab/>
      </w:r>
      <w:r>
        <w:rPr>
          <w:rStyle w:val="25"/>
          <w:rFonts w:hint="eastAsia"/>
        </w:rPr>
        <w:t>住区指标</w:t>
      </w:r>
      <w:r>
        <w:tab/>
      </w:r>
      <w:r>
        <w:fldChar w:fldCharType="begin"/>
      </w:r>
      <w:r>
        <w:instrText xml:space="preserve"> PAGEREF _Toc16494754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"_Toc16494755" </w:instrText>
      </w:r>
      <w:r>
        <w:fldChar w:fldCharType="separate"/>
      </w:r>
      <w:r>
        <w:rPr>
          <w:rStyle w:val="25"/>
        </w:rPr>
        <w:t>6</w:t>
      </w:r>
      <w:r>
        <w:rPr>
          <w:rFonts w:asciiTheme="minorHAnsi" w:hAnsiTheme="minorHAnsi" w:eastAsiaTheme="minorEastAsia" w:cstheme="minorBidi"/>
          <w:b w:val="0"/>
          <w:bCs w:val="0"/>
          <w:szCs w:val="22"/>
        </w:rPr>
        <w:tab/>
      </w:r>
      <w:r>
        <w:rPr>
          <w:rStyle w:val="25"/>
          <w:rFonts w:hint="eastAsia"/>
        </w:rPr>
        <w:t>计算结果</w:t>
      </w:r>
      <w:r>
        <w:tab/>
      </w:r>
      <w:r>
        <w:fldChar w:fldCharType="begin"/>
      </w:r>
      <w:r>
        <w:instrText xml:space="preserve"> PAGEREF _Toc16494755 \h </w:instrText>
      </w:r>
      <w:r>
        <w:fldChar w:fldCharType="separate"/>
      </w:r>
      <w:r>
        <w:rPr>
          <w:rFonts w:hint="eastAsia"/>
          <w:b w:val="0"/>
          <w:bCs w:val="0"/>
        </w:rPr>
        <w:t>错误!未定义书签。</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1" w:name="_Toc16494746"/>
      <w:r>
        <w:rPr>
          <w:rFonts w:hint="eastAsia"/>
        </w:rPr>
        <w:t>住区概况</w:t>
      </w:r>
      <w:bookmarkEnd w:id="11"/>
    </w:p>
    <w:tbl>
      <w:tblPr>
        <w:tblStyle w:val="20"/>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2" w:name="工程名称1"/>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3" w:name="工程地点"/>
            <w:r>
              <w:t>荆沙</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4" w:name="纬度"/>
            <w:r>
              <w:t>30.30</w:t>
            </w:r>
            <w:bookmarkEnd w:id="14"/>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5" w:name="经度"/>
            <w:r>
              <w:t>112.27</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6" w:name="气候区"/>
            <w:r>
              <w:t>IIIB</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7" w:name="主导风向"/>
            <w:r>
              <w:t>南</w:t>
            </w:r>
            <w:bookmarkEnd w:id="17"/>
          </w:p>
        </w:tc>
      </w:tr>
    </w:tbl>
    <w:p>
      <w:pPr>
        <w:pStyle w:val="3"/>
        <w:ind w:firstLine="420"/>
        <w:rPr>
          <w:lang w:val="en-US"/>
        </w:rPr>
      </w:pPr>
    </w:p>
    <w:p>
      <w:pPr>
        <w:pStyle w:val="3"/>
        <w:ind w:firstLine="420"/>
        <w:jc w:val="center"/>
        <w:rPr>
          <w:lang w:val="en-US"/>
        </w:rPr>
      </w:pPr>
      <w:bookmarkStart w:id="18" w:name="总图鸟瞰图"/>
      <w:bookmarkEnd w:id="18"/>
      <w:r>
        <w:drawing>
          <wp:inline distT="0" distB="0" distL="0" distR="0">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bookmarkStart w:id="19" w:name="OLE_LINK4"/>
      <w:bookmarkStart w:id="20" w:name="OLE_LINK3"/>
      <w:r>
        <w:rPr>
          <w:rFonts w:hint="eastAsia" w:ascii="宋体" w:hAnsi="宋体"/>
        </w:rPr>
        <w:t>图</w:t>
      </w:r>
      <w:r>
        <w:rPr>
          <w:rFonts w:ascii="宋体" w:hAnsi="宋体"/>
        </w:rPr>
        <w:t>1</w:t>
      </w:r>
      <w:r>
        <w:rPr>
          <w:rFonts w:hint="eastAsia" w:ascii="宋体" w:hAnsi="宋体"/>
        </w:rPr>
        <w:t>.1 场地鸟瞰图</w:t>
      </w:r>
      <w:bookmarkEnd w:id="19"/>
      <w:bookmarkEnd w:id="20"/>
    </w:p>
    <w:p>
      <w:pPr>
        <w:pStyle w:val="3"/>
        <w:ind w:firstLine="420"/>
        <w:rPr>
          <w:lang w:val="en-US"/>
        </w:rPr>
      </w:pPr>
    </w:p>
    <w:p>
      <w:pPr>
        <w:pStyle w:val="3"/>
        <w:ind w:firstLine="420"/>
        <w:jc w:val="center"/>
        <w:rPr>
          <w:lang w:val="en-US"/>
        </w:rPr>
      </w:pPr>
      <w:bookmarkStart w:id="21" w:name="总图平面图"/>
      <w:bookmarkEnd w:id="21"/>
      <w:r>
        <w:drawing>
          <wp:inline distT="0" distB="0" distL="0" distR="0">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2" w:name="_Toc16494747"/>
      <w:bookmarkStart w:id="23" w:name="TitleFormat"/>
      <w:r>
        <w:rPr>
          <w:rFonts w:hint="eastAsia"/>
        </w:rPr>
        <w:t>设计依据</w:t>
      </w:r>
      <w:bookmarkEnd w:id="22"/>
    </w:p>
    <w:bookmarkEnd w:id="23"/>
    <w:p>
      <w:pPr>
        <w:widowControl w:val="0"/>
        <w:spacing w:line="360" w:lineRule="auto"/>
        <w:ind w:firstLine="420"/>
        <w:jc w:val="both"/>
        <w:rPr>
          <w:kern w:val="2"/>
          <w:szCs w:val="24"/>
          <w:lang w:val="en-US"/>
        </w:rPr>
      </w:pPr>
      <w:bookmarkStart w:id="24" w:name="计算依据"/>
      <w:bookmarkEnd w:id="24"/>
      <w:r>
        <w:rPr>
          <w:rFonts w:hint="eastAsia"/>
          <w:kern w:val="2"/>
          <w:szCs w:val="24"/>
          <w:lang w:val="en-US"/>
        </w:rPr>
        <w:t>《城市居住区热环境设计标准》</w:t>
      </w:r>
      <w:r>
        <w:rPr>
          <w:kern w:val="2"/>
          <w:szCs w:val="24"/>
          <w:lang w:val="en-US"/>
        </w:rPr>
        <w:t>JGJ 286-2013</w:t>
      </w:r>
    </w:p>
    <w:p>
      <w:pPr>
        <w:pStyle w:val="2"/>
      </w:pPr>
      <w:r>
        <w:rPr>
          <w:rFonts w:hint="eastAsia"/>
        </w:rPr>
        <w:t>计算规定</w:t>
      </w:r>
    </w:p>
    <w:p>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pPr>
        <w:pStyle w:val="4"/>
      </w:pPr>
      <w:bookmarkStart w:id="25" w:name="_Toc16494769"/>
      <w:r>
        <w:rPr>
          <w:rFonts w:hint="eastAsia"/>
        </w:rPr>
        <w:t>强制条文</w:t>
      </w:r>
      <w:bookmarkEnd w:id="25"/>
    </w:p>
    <w:p>
      <w:pPr>
        <w:pStyle w:val="3"/>
        <w:spacing w:line="360" w:lineRule="auto"/>
        <w:ind w:firstLine="420"/>
        <w:rPr>
          <w:kern w:val="2"/>
          <w:szCs w:val="24"/>
          <w:lang w:val="en-US"/>
        </w:rPr>
      </w:pPr>
      <w:r>
        <w:rPr>
          <w:rFonts w:hint="eastAsia"/>
          <w:kern w:val="2"/>
          <w:szCs w:val="24"/>
          <w:lang w:val="en-US"/>
        </w:rPr>
        <w:t>（1）</w:t>
      </w:r>
      <w:r>
        <w:rPr>
          <w:bCs/>
          <w:kern w:val="2"/>
          <w:sz w:val="24"/>
          <w:szCs w:val="24"/>
          <w:lang w:val="en-US"/>
        </w:rPr>
        <w:t>4</w:t>
      </w:r>
      <w:r>
        <w:rPr>
          <w:rFonts w:hint="eastAsia"/>
          <w:bCs/>
          <w:kern w:val="2"/>
          <w:sz w:val="24"/>
          <w:szCs w:val="24"/>
          <w:lang w:val="en-US"/>
        </w:rPr>
        <w:t>.1.1</w:t>
      </w:r>
      <w:r>
        <w:rPr>
          <w:bCs/>
          <w:kern w:val="2"/>
          <w:sz w:val="24"/>
          <w:szCs w:val="24"/>
          <w:lang w:val="en-US"/>
        </w:rPr>
        <w:t xml:space="preserve"> 居住区的夏季平均迎风面积比应符合表4．1．1的规定。</w:t>
      </w:r>
    </w:p>
    <w:p>
      <w:pPr>
        <w:pStyle w:val="18"/>
        <w:shd w:val="clear" w:color="auto" w:fill="FFFFFF"/>
        <w:spacing w:before="0" w:beforeAutospacing="0" w:after="0" w:afterAutospacing="0" w:line="360" w:lineRule="auto"/>
        <w:ind w:firstLine="420"/>
        <w:jc w:val="center"/>
        <w:rPr>
          <w:rStyle w:val="23"/>
          <w:rFonts w:ascii="Arial" w:hAnsi="Arial" w:cs="Arial"/>
          <w:color w:val="333333"/>
          <w:sz w:val="21"/>
          <w:szCs w:val="21"/>
        </w:rPr>
      </w:pPr>
      <w:r>
        <w:rPr>
          <w:rStyle w:val="23"/>
          <w:rFonts w:ascii="Arial" w:hAnsi="Arial" w:cs="Arial"/>
          <w:color w:val="333333"/>
          <w:sz w:val="21"/>
          <w:szCs w:val="21"/>
        </w:rPr>
        <w:t>表4．1．1 居住区的夏季平均迎风面积比（ζ</w:t>
      </w:r>
      <w:r>
        <w:rPr>
          <w:rStyle w:val="23"/>
          <w:rFonts w:ascii="Arial" w:hAnsi="Arial" w:cs="Arial"/>
          <w:color w:val="333333"/>
          <w:sz w:val="21"/>
          <w:szCs w:val="21"/>
          <w:vertAlign w:val="subscript"/>
        </w:rPr>
        <w:t>s</w:t>
      </w:r>
      <w:r>
        <w:rPr>
          <w:rStyle w:val="23"/>
          <w:rFonts w:ascii="Arial" w:hAnsi="Arial" w:cs="Arial"/>
          <w:color w:val="333333"/>
          <w:sz w:val="21"/>
          <w:szCs w:val="21"/>
        </w:rPr>
        <w:t>）限值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pPr>
        <w:pStyle w:val="18"/>
        <w:shd w:val="clear" w:color="auto" w:fill="FFFFFF"/>
        <w:spacing w:before="0" w:beforeAutospacing="0" w:after="0" w:afterAutospacing="0"/>
        <w:jc w:val="center"/>
        <w:rPr>
          <w:rFonts w:ascii="Arial" w:hAnsi="Arial" w:cs="Arial"/>
          <w:color w:val="333333"/>
          <w:sz w:val="21"/>
          <w:szCs w:val="21"/>
        </w:rPr>
      </w:pPr>
    </w:p>
    <w:p>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pPr>
        <w:pStyle w:val="18"/>
        <w:shd w:val="clear" w:color="auto" w:fill="FFFFFF"/>
        <w:spacing w:before="0" w:beforeAutospacing="0" w:after="0" w:afterAutospacing="0"/>
        <w:ind w:firstLine="420"/>
        <w:jc w:val="center"/>
        <w:rPr>
          <w:rStyle w:val="23"/>
          <w:rFonts w:ascii="Arial" w:hAnsi="Arial" w:cs="Arial"/>
          <w:color w:val="333333"/>
          <w:sz w:val="21"/>
          <w:szCs w:val="21"/>
        </w:rPr>
      </w:pPr>
      <w:r>
        <w:rPr>
          <w:rStyle w:val="23"/>
          <w:rFonts w:ascii="Arial" w:hAnsi="Arial" w:cs="Arial"/>
          <w:color w:val="333333"/>
          <w:sz w:val="21"/>
          <w:szCs w:val="21"/>
        </w:rPr>
        <w:t>表4．2．1 居住区活动场地的遮阳覆盖率限值(％)</w:t>
      </w:r>
    </w:p>
    <w:tbl>
      <w:tblPr>
        <w:tblStyle w:val="21"/>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pPr>
        <w:pStyle w:val="4"/>
      </w:pPr>
      <w:bookmarkStart w:id="26" w:name="_Toc16494771"/>
      <w:r>
        <w:rPr>
          <w:rFonts w:hint="eastAsia"/>
        </w:rPr>
        <w:t>评价性设计</w:t>
      </w:r>
      <w:bookmarkEnd w:id="26"/>
    </w:p>
    <w:p>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pPr>
        <w:pStyle w:val="2"/>
      </w:pPr>
      <w:bookmarkStart w:id="27" w:name="_Toc16494748"/>
      <w:r>
        <w:rPr>
          <w:rFonts w:hint="eastAsia"/>
        </w:rPr>
        <w:t>计算方法</w:t>
      </w:r>
      <w:bookmarkEnd w:id="27"/>
    </w:p>
    <w:p>
      <w:pPr>
        <w:widowControl w:val="0"/>
        <w:spacing w:line="360" w:lineRule="auto"/>
        <w:jc w:val="both"/>
        <w:rPr>
          <w:kern w:val="2"/>
          <w:szCs w:val="21"/>
          <w:lang w:val="en-US"/>
        </w:rPr>
      </w:pPr>
      <w:bookmarkStart w:id="28" w:name="计算方法"/>
      <w:bookmarkEnd w:id="28"/>
      <w:r>
        <w:rPr>
          <w:rFonts w:hint="eastAsia"/>
          <w:kern w:val="2"/>
          <w:szCs w:val="21"/>
          <w:lang w:val="en-US"/>
        </w:rPr>
        <w:t>（1）居住区夏季逐时湿球黑球</w:t>
      </w:r>
      <w:r>
        <w:rPr>
          <w:kern w:val="2"/>
          <w:szCs w:val="21"/>
          <w:lang w:val="en-US"/>
        </w:rPr>
        <w:t>温度</w:t>
      </w:r>
      <w:r>
        <w:rPr>
          <w:rFonts w:hint="eastAsia"/>
          <w:kern w:val="2"/>
          <w:szCs w:val="21"/>
          <w:lang w:val="en-US"/>
        </w:rPr>
        <w:t>应按下式进行计算：</w:t>
      </w:r>
    </w:p>
    <w:p>
      <w:pPr>
        <w:pStyle w:val="3"/>
        <w:spacing w:line="360" w:lineRule="auto"/>
        <w:ind w:firstLine="228" w:firstLineChars="95"/>
        <w:rPr>
          <w:vertAlign w:val="subscript"/>
          <w:lang w:val="en-US"/>
        </w:rPr>
      </w:pPr>
      <w:r>
        <w:rPr>
          <w:position w:val="-16"/>
          <w:sz w:val="24"/>
          <w:szCs w:val="24"/>
          <w:vertAlign w:val="subscript"/>
          <w:lang w:val="en-US"/>
        </w:rPr>
        <w:object>
          <v:shape id="_x0000_i1025" o:spt="75" type="#_x0000_t75" style="height:21.05pt;width:396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vertAlign w:val="subscript"/>
          <w:lang w:val="en-US"/>
        </w:rPr>
        <w:t xml:space="preserve"> </w:t>
      </w:r>
    </w:p>
    <w:p>
      <w:pPr>
        <w:pStyle w:val="3"/>
        <w:spacing w:line="360" w:lineRule="auto"/>
        <w:ind w:firstLine="1188" w:firstLineChars="495"/>
        <w:rPr>
          <w:lang w:val="en-US"/>
        </w:rPr>
      </w:pPr>
      <w:r>
        <w:rPr>
          <w:position w:val="-12"/>
          <w:sz w:val="24"/>
          <w:szCs w:val="24"/>
          <w:lang w:val="en-US"/>
        </w:rPr>
        <w:object>
          <v:shape id="_x0000_i1026" o:spt="75" type="#_x0000_t75" style="height:19pt;width:108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lang w:val="en-US"/>
        </w:rPr>
        <w:t xml:space="preserve"> </w:t>
      </w:r>
    </w:p>
    <w:p>
      <w:pPr>
        <w:pStyle w:val="3"/>
        <w:spacing w:line="360" w:lineRule="auto"/>
        <w:ind w:firstLine="1459" w:firstLineChars="695"/>
        <w:rPr>
          <w:lang w:val="en-US"/>
        </w:rPr>
      </w:pPr>
      <w:r>
        <w:rPr>
          <w:position w:val="-12"/>
          <w:lang w:val="en-US"/>
        </w:rPr>
        <w:object>
          <v:shape id="_x0000_i1027" o:spt="75" type="#_x0000_t75" style="height:18.35pt;width:298.8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lang w:val="en-US"/>
        </w:rPr>
        <w:t xml:space="preserve"> </w:t>
      </w:r>
    </w:p>
    <w:p>
      <w:pPr>
        <w:pStyle w:val="3"/>
        <w:spacing w:line="360" w:lineRule="auto"/>
        <w:ind w:firstLine="1050" w:firstLineChars="500"/>
        <w:rPr>
          <w:lang w:val="en-US"/>
        </w:rPr>
      </w:pPr>
      <w:r>
        <w:rPr>
          <w:position w:val="-12"/>
          <w:lang w:val="en-US"/>
        </w:rPr>
        <w:object>
          <v:shape id="_x0000_i1028" o:spt="75" type="#_x0000_t75" style="height:18.35pt;width:288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lang w:val="en-US"/>
        </w:rPr>
        <w:t xml:space="preserve"> </w:t>
      </w:r>
    </w:p>
    <w:p>
      <w:pPr>
        <w:pStyle w:val="3"/>
        <w:spacing w:line="360" w:lineRule="auto"/>
        <w:ind w:firstLine="1050" w:firstLineChars="500"/>
        <w:rPr>
          <w:lang w:val="en-US"/>
        </w:rPr>
      </w:pPr>
      <w:r>
        <w:rPr>
          <w:position w:val="-4"/>
          <w:lang w:val="en-US"/>
        </w:rPr>
        <w:object>
          <v:shape id="_x0000_i1029" o:spt="75" type="#_x0000_t75" style="height:13.6pt;width:8.85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lang w:val="en-US"/>
        </w:rPr>
        <w:t xml:space="preserve"> </w:t>
      </w:r>
      <w:r>
        <w:rPr>
          <w:position w:val="-28"/>
          <w:lang w:val="en-US"/>
        </w:rPr>
        <w:object>
          <v:shape id="_x0000_i1030" o:spt="75" type="#_x0000_t75" style="height:33.95pt;width:110.05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pPr>
        <w:pStyle w:val="3"/>
        <w:spacing w:line="360" w:lineRule="auto"/>
        <w:ind w:firstLine="228" w:firstLineChars="95"/>
        <w:rPr>
          <w:lang w:val="en-US"/>
        </w:rPr>
      </w:pPr>
      <w:r>
        <w:rPr>
          <w:sz w:val="24"/>
          <w:szCs w:val="24"/>
          <w:lang w:val="en-US"/>
        </w:rPr>
        <w:t>式中</w:t>
      </w:r>
      <w:r>
        <w:rPr>
          <w:rFonts w:hint="eastAsia"/>
          <w:kern w:val="2"/>
          <w:sz w:val="24"/>
          <w:szCs w:val="22"/>
          <w:lang w:val="en-US"/>
        </w:rPr>
        <w:t>：</w:t>
      </w:r>
    </w:p>
    <w:p>
      <w:pPr>
        <w:pStyle w:val="3"/>
        <w:spacing w:line="360" w:lineRule="auto"/>
        <w:ind w:firstLine="829" w:firstLineChars="395"/>
        <w:rPr>
          <w:lang w:val="en-US"/>
        </w:rPr>
      </w:pPr>
      <w:r>
        <w:rPr>
          <w:position w:val="-12"/>
          <w:lang w:val="en-US"/>
        </w:rPr>
        <w:object>
          <v:shape id="_x0000_i1031" o:spt="75" type="#_x0000_t75" style="height:18.35pt;width:27.1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lang w:val="en-US"/>
        </w:rPr>
        <w:t>——</w:t>
      </w:r>
      <w:r>
        <w:rPr>
          <w:position w:val="-6"/>
          <w:lang w:val="en-US"/>
        </w:rPr>
        <w:object>
          <v:shape id="_x0000_i1032" o:spt="75" type="#_x0000_t75" style="height:10.85pt;width:10.2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lang w:val="en-US"/>
        </w:rPr>
        <w:t>时刻居住区设计的空气温度</w:t>
      </w:r>
      <w:r>
        <w:rPr>
          <w:rFonts w:hint="eastAsia"/>
          <w:kern w:val="2"/>
          <w:lang w:val="en-US"/>
        </w:rPr>
        <w:t>（℃）</w:t>
      </w:r>
      <w:r>
        <w:rPr>
          <w:rFonts w:hint="eastAsia"/>
          <w:lang w:val="en-US"/>
        </w:rPr>
        <w:t>，按本标准附录B的方法计算；</w:t>
      </w:r>
    </w:p>
    <w:p>
      <w:pPr>
        <w:pStyle w:val="3"/>
        <w:spacing w:line="360" w:lineRule="auto"/>
        <w:ind w:firstLine="919" w:firstLineChars="383"/>
        <w:rPr>
          <w:lang w:val="en-US"/>
        </w:rPr>
      </w:pPr>
      <w:r>
        <w:rPr>
          <w:position w:val="-12"/>
          <w:sz w:val="24"/>
          <w:szCs w:val="24"/>
          <w:vertAlign w:val="subscript"/>
          <w:lang w:val="en-US"/>
        </w:rPr>
        <w:object>
          <v:shape id="_x0000_i1033" o:spt="75" type="#_x0000_t75" style="height:18.35pt;width:30.5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lang w:val="en-US"/>
        </w:rPr>
        <w:t>——</w:t>
      </w:r>
      <w:r>
        <w:rPr>
          <w:position w:val="-6"/>
          <w:lang w:val="en-US"/>
        </w:rPr>
        <w:object>
          <v:shape id="_x0000_i1034" o:spt="75" type="#_x0000_t75" style="height:10.85pt;width:10.2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8">
            <o:LockedField>false</o:LockedField>
          </o:OLEObject>
        </w:object>
      </w:r>
      <w:r>
        <w:rPr>
          <w:lang w:val="en-US"/>
        </w:rPr>
        <w:t>时刻居住区设计的空气温度对应下的空气相对</w:t>
      </w:r>
      <w:r>
        <w:rPr>
          <w:rFonts w:hint="eastAsia"/>
          <w:lang w:val="en-US"/>
        </w:rPr>
        <w:t>湿度（%）；</w:t>
      </w:r>
    </w:p>
    <w:p>
      <w:pPr>
        <w:pStyle w:val="3"/>
        <w:spacing w:line="360" w:lineRule="auto"/>
        <w:ind w:firstLine="948" w:firstLineChars="395"/>
        <w:rPr>
          <w:lang w:val="en-US"/>
        </w:rPr>
      </w:pPr>
      <w:r>
        <w:rPr>
          <w:position w:val="-12"/>
          <w:sz w:val="24"/>
          <w:szCs w:val="24"/>
          <w:lang w:val="en-US"/>
        </w:rPr>
        <w:object>
          <v:shape id="_x0000_i1035" o:spt="75" type="#_x0000_t75" style="height:18.35pt;width:46.8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eastAsia"/>
          <w:sz w:val="24"/>
          <w:szCs w:val="24"/>
          <w:lang w:val="en-US"/>
        </w:rPr>
        <w:t>——</w:t>
      </w:r>
      <w:r>
        <w:rPr>
          <w:position w:val="-6"/>
          <w:lang w:val="en-US"/>
        </w:rPr>
        <w:object>
          <v:shape id="_x0000_i1036" o:spt="75" type="#_x0000_t75" style="height:10.85pt;width:10.2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31">
            <o:LockedField>false</o:LockedField>
          </o:OLEObject>
        </w:object>
      </w:r>
      <w:r>
        <w:rPr>
          <w:lang w:val="en-US"/>
        </w:rPr>
        <w:t>时刻居住区所在城市或气候区的典型气象日相对湿度</w:t>
      </w:r>
      <w:r>
        <w:rPr>
          <w:rFonts w:hint="eastAsia"/>
          <w:lang w:val="en-US"/>
        </w:rPr>
        <w:t>（%），</w:t>
      </w:r>
      <w:r>
        <w:rPr>
          <w:lang w:val="en-US"/>
        </w:rPr>
        <w:t>按本标准附录</w:t>
      </w:r>
      <w:r>
        <w:rPr>
          <w:rFonts w:hint="eastAsia"/>
          <w:lang w:val="en-US"/>
        </w:rPr>
        <w:t>A的规定取值；</w:t>
      </w:r>
    </w:p>
    <w:p>
      <w:pPr>
        <w:pStyle w:val="3"/>
        <w:spacing w:line="360" w:lineRule="auto"/>
        <w:ind w:firstLine="948" w:firstLineChars="395"/>
        <w:rPr>
          <w:lang w:val="en-US"/>
        </w:rPr>
      </w:pPr>
      <w:r>
        <w:rPr>
          <w:position w:val="-12"/>
          <w:sz w:val="24"/>
          <w:szCs w:val="24"/>
          <w:lang w:val="en-US"/>
        </w:rPr>
        <w:object>
          <v:shape id="_x0000_i1037" o:spt="75" type="#_x0000_t75" style="height:18.35pt;width:43.4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eastAsia"/>
          <w:sz w:val="24"/>
          <w:szCs w:val="24"/>
          <w:lang w:val="en-US"/>
        </w:rPr>
        <w:t>——</w:t>
      </w:r>
      <w:r>
        <w:rPr>
          <w:position w:val="-6"/>
          <w:lang w:val="en-US"/>
        </w:rPr>
        <w:object>
          <v:shape id="_x0000_i1038" o:spt="75" type="#_x0000_t75" style="height:10.85pt;width:10.2pt;" o:ole="t" filled="f" o:preferrelative="t" stroked="f" coordsize="21600,21600">
            <v:path/>
            <v:fill on="f" focussize="0,0"/>
            <v:stroke on="f" joinstyle="miter"/>
            <v:imagedata r:id="rId25" o:title=""/>
            <o:lock v:ext="edit" aspectratio="t"/>
            <w10:wrap type="none"/>
            <w10:anchorlock/>
          </v:shape>
          <o:OLEObject Type="Embed" ProgID="Equation.DSMT4" ShapeID="_x0000_i1038" DrawAspect="Content" ObjectID="_1468075738" r:id="rId34">
            <o:LockedField>false</o:LockedField>
          </o:OLEObject>
        </w:object>
      </w:r>
      <w:r>
        <w:rPr>
          <w:lang w:val="en-US"/>
        </w:rPr>
        <w:t>时刻居住区所在城市或气候区的典型气象日</w:t>
      </w:r>
      <w:r>
        <w:rPr>
          <w:rFonts w:hint="eastAsia"/>
          <w:lang w:val="en-US"/>
        </w:rPr>
        <w:t>空气</w:t>
      </w:r>
      <w:r>
        <w:rPr>
          <w:lang w:val="en-US"/>
        </w:rPr>
        <w:t>干球温度</w:t>
      </w:r>
      <w:r>
        <w:rPr>
          <w:rFonts w:hint="eastAsia"/>
          <w:kern w:val="2"/>
          <w:lang w:val="en-US"/>
        </w:rPr>
        <w:t>（℃）</w:t>
      </w:r>
      <w:r>
        <w:rPr>
          <w:rFonts w:hint="eastAsia"/>
          <w:lang w:val="en-US"/>
        </w:rPr>
        <w:t>，</w:t>
      </w:r>
      <w:r>
        <w:rPr>
          <w:lang w:val="en-US"/>
        </w:rPr>
        <w:t>按本标准附录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39" o:spt="75" type="#_x0000_t75" style="height:18.35pt;width:31.9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lang w:val="en-US"/>
        </w:rPr>
        <w:t>——</w:t>
      </w:r>
      <w:r>
        <w:rPr>
          <w:position w:val="-6"/>
          <w:lang w:val="en-US"/>
        </w:rPr>
        <w:object>
          <v:shape id="_x0000_i1040" o:spt="75" type="#_x0000_t75" style="height:10.85pt;width:10.2pt;" o:ole="t" filled="f" o:preferrelative="t" stroked="f" coordsize="21600,21600">
            <v:path/>
            <v:fill on="f" focussize="0,0"/>
            <v:stroke on="f" joinstyle="miter"/>
            <v:imagedata r:id="rId25" o:title=""/>
            <o:lock v:ext="edit" aspectratio="t"/>
            <w10:wrap type="none"/>
            <w10:anchorlock/>
          </v:shape>
          <o:OLEObject Type="Embed" ProgID="Equation.DSMT4" ShapeID="_x0000_i1040" DrawAspect="Content" ObjectID="_1468075740" r:id="rId37">
            <o:LockedField>false</o:LockedField>
          </o:OLEObject>
        </w:object>
      </w:r>
      <w:r>
        <w:rPr>
          <w:lang w:val="en-US"/>
        </w:rPr>
        <w:t>时刻居住区设计的地表入射太阳辐射照度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.0.2-9</w:t>
      </w:r>
      <w:r>
        <w:rPr>
          <w:rFonts w:hint="eastAsia"/>
          <w:lang w:val="en-US"/>
        </w:rPr>
        <w:t>）的方法计算；</w:t>
      </w:r>
    </w:p>
    <w:p>
      <w:pPr>
        <w:pStyle w:val="3"/>
        <w:spacing w:line="360" w:lineRule="auto"/>
        <w:ind w:firstLine="919" w:firstLineChars="383"/>
        <w:rPr>
          <w:lang w:val="en-US"/>
        </w:rPr>
      </w:pPr>
      <w:r>
        <w:rPr>
          <w:position w:val="-12"/>
          <w:sz w:val="24"/>
          <w:szCs w:val="24"/>
          <w:vertAlign w:val="subscript"/>
          <w:lang w:val="en-US"/>
        </w:rPr>
        <w:object>
          <v:shape id="_x0000_i1041" o:spt="75" type="#_x0000_t75" style="height:18.35pt;width:42.1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lang w:val="en-US"/>
        </w:rPr>
        <w:t>——</w:t>
      </w:r>
      <w:r>
        <w:rPr>
          <w:position w:val="-6"/>
          <w:lang w:val="en-US"/>
        </w:rPr>
        <w:object>
          <v:shape id="_x0000_i1042" o:spt="75" type="#_x0000_t75" style="height:10.85pt;width:10.2pt;" o:ole="t" filled="f" o:preferrelative="t" stroked="f" coordsize="21600,21600">
            <v:path/>
            <v:fill on="f" focussize="0,0"/>
            <v:stroke on="f" joinstyle="miter"/>
            <v:imagedata r:id="rId25" o:title=""/>
            <o:lock v:ext="edit" aspectratio="t"/>
            <w10:wrap type="none"/>
            <w10:anchorlock/>
          </v:shape>
          <o:OLEObject Type="Embed" ProgID="Equation.DSMT4" ShapeID="_x0000_i1042" DrawAspect="Content" ObjectID="_1468075742" r:id="rId40">
            <o:LockedField>false</o:LockedField>
          </o:OLEObject>
        </w:object>
      </w:r>
      <w:r>
        <w:rPr>
          <w:lang w:val="en-US"/>
        </w:rPr>
        <w:t>时刻设计地块范围内的地表反射的短波辐射照度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p>
    <w:p>
      <w:pPr>
        <w:pStyle w:val="3"/>
        <w:spacing w:line="360" w:lineRule="auto"/>
        <w:ind w:firstLine="829" w:firstLineChars="395"/>
        <w:rPr>
          <w:lang w:val="en-US"/>
        </w:rPr>
      </w:pPr>
      <w:r>
        <w:rPr>
          <w:position w:val="-12"/>
          <w:lang w:val="en-US"/>
        </w:rPr>
        <w:object>
          <v:shape id="_x0000_i1043" o:spt="75" type="#_x0000_t75" style="height:18.35pt;width:67.9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sz w:val="24"/>
          <w:szCs w:val="24"/>
          <w:lang w:val="en-US"/>
        </w:rPr>
        <w:t>——</w:t>
      </w:r>
      <w:r>
        <w:rPr>
          <w:position w:val="-6"/>
          <w:lang w:val="en-US"/>
        </w:rPr>
        <w:object>
          <v:shape id="_x0000_i1044" o:spt="75" type="#_x0000_t75" style="height:10.85pt;width:10.2pt;" o:ole="t" filled="f" o:preferrelative="t" stroked="f" coordsize="21600,21600">
            <v:path/>
            <v:fill on="f" focussize="0,0"/>
            <v:stroke on="f" joinstyle="miter"/>
            <v:imagedata r:id="rId25" o:title=""/>
            <o:lock v:ext="edit" aspectratio="t"/>
            <w10:wrap type="none"/>
            <w10:anchorlock/>
          </v:shape>
          <o:OLEObject Type="Embed" ProgID="Equation.DSMT4" ShapeID="_x0000_i1044" DrawAspect="Content" ObjectID="_1468075744" r:id="rId43">
            <o:LockedField>false</o:LockedField>
          </o:OLEObject>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），按本</w:t>
      </w:r>
      <w:r>
        <w:rPr>
          <w:lang w:val="en-US"/>
        </w:rPr>
        <w:t>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45" o:spt="75" type="#_x0000_t75" style="height:18.35pt;width:37.35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lang w:val="en-US"/>
        </w:rPr>
        <w:t>——</w:t>
      </w:r>
      <w:r>
        <w:rPr>
          <w:position w:val="-6"/>
          <w:lang w:val="en-US"/>
        </w:rPr>
        <w:object>
          <v:shape id="_x0000_i1046" o:spt="75" type="#_x0000_t75" style="height:10.85pt;width:10.2pt;" o:ole="t" filled="f" o:preferrelative="t" stroked="f" coordsize="21600,21600">
            <v:path/>
            <v:fill on="f" focussize="0,0"/>
            <v:stroke on="f" joinstyle="miter"/>
            <v:imagedata r:id="rId25" o:title=""/>
            <o:lock v:ext="edit" aspectratio="t"/>
            <w10:wrap type="none"/>
            <w10:anchorlock/>
          </v:shape>
          <o:OLEObject Type="Embed" ProgID="Equation.DSMT4" ShapeID="_x0000_i1046" DrawAspect="Content" ObjectID="_1468075746" r:id="rId46">
            <o:LockedField>false</o:LockedField>
          </o:OLEObject>
        </w:object>
      </w:r>
      <w:r>
        <w:rPr>
          <w:lang w:val="en-US"/>
        </w:rPr>
        <w:t>时刻设计地块范围内空地的建筑阴影率</w:t>
      </w:r>
      <w:r>
        <w:rPr>
          <w:rFonts w:hint="eastAsia"/>
          <w:lang w:val="en-US"/>
        </w:rPr>
        <w:t>（%），以所在地7月2</w:t>
      </w:r>
      <w:r>
        <w:rPr>
          <w:lang w:val="en-US"/>
        </w:rPr>
        <w:t>1日太阳位置计算</w:t>
      </w:r>
      <w:r>
        <w:rPr>
          <w:rFonts w:hint="eastAsia"/>
          <w:lang w:val="en-US"/>
        </w:rPr>
        <w:t>；</w:t>
      </w:r>
    </w:p>
    <w:p>
      <w:pPr>
        <w:pStyle w:val="3"/>
        <w:spacing w:line="360" w:lineRule="auto"/>
        <w:ind w:firstLine="829" w:firstLineChars="395"/>
        <w:rPr>
          <w:lang w:val="en-US"/>
        </w:rPr>
      </w:pPr>
      <w:r>
        <w:rPr>
          <w:position w:val="-12"/>
          <w:lang w:val="en-US"/>
        </w:rPr>
        <w:object>
          <v:shape id="_x0000_i1047" o:spt="75" type="#_x0000_t75" style="height:18.35pt;width:25.15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r>
        <w:rPr>
          <w:rFonts w:hint="eastAsia"/>
          <w:lang w:val="en-US"/>
        </w:rPr>
        <w:t>——</w:t>
      </w:r>
      <w:r>
        <w:rPr>
          <w:lang w:val="en-US"/>
        </w:rPr>
        <w:t>设计地块范围内空地的平均天空角系数</w:t>
      </w:r>
      <w:r>
        <w:rPr>
          <w:rFonts w:hint="eastAsia"/>
          <w:lang w:val="en-US"/>
        </w:rPr>
        <w:t>；</w:t>
      </w:r>
    </w:p>
    <w:p>
      <w:pPr>
        <w:pStyle w:val="3"/>
        <w:spacing w:line="360" w:lineRule="auto"/>
        <w:ind w:firstLine="829" w:firstLineChars="395"/>
        <w:rPr>
          <w:lang w:val="en-US"/>
        </w:rPr>
      </w:pPr>
      <w:r>
        <w:rPr>
          <w:position w:val="-10"/>
          <w:lang w:val="en-US"/>
        </w:rPr>
        <w:object>
          <v:shape id="_x0000_i1048" o:spt="75" type="#_x0000_t75" style="height:13.6pt;width:12.25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hint="eastAsia"/>
          <w:lang w:val="en-US"/>
        </w:rPr>
        <w:t>——居住区</w:t>
      </w:r>
      <w:r>
        <w:rPr>
          <w:lang w:val="en-US"/>
        </w:rPr>
        <w:t>地表的平均太阳辐射吸收系数</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.0.2-2</w:t>
      </w:r>
      <w:r>
        <w:rPr>
          <w:rFonts w:hint="eastAsia"/>
          <w:lang w:val="en-US"/>
        </w:rPr>
        <w:t>）的方法计算；</w:t>
      </w:r>
    </w:p>
    <w:p>
      <w:pPr>
        <w:pStyle w:val="3"/>
        <w:spacing w:line="360" w:lineRule="auto"/>
        <w:ind w:firstLine="829" w:firstLineChars="395"/>
        <w:rPr>
          <w:lang w:val="en-US"/>
        </w:rPr>
      </w:pPr>
      <w:r>
        <w:rPr>
          <w:position w:val="-6"/>
          <w:lang w:val="en-US"/>
        </w:rPr>
        <w:object>
          <v:shape id="_x0000_i1049" o:spt="75" type="#_x0000_t75" style="height:10.85pt;width:10.2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hint="eastAsia"/>
          <w:lang w:val="en-US"/>
        </w:rPr>
        <w:t>——为无穷大的天空均匀分布的假定光源个数，取3</w:t>
      </w:r>
      <w:r>
        <w:rPr>
          <w:lang w:val="en-US"/>
        </w:rPr>
        <w:t>24个</w:t>
      </w:r>
      <w:r>
        <w:rPr>
          <w:rFonts w:hint="eastAsia"/>
          <w:lang w:val="en-US"/>
        </w:rPr>
        <w:t>；</w:t>
      </w:r>
    </w:p>
    <w:p>
      <w:pPr>
        <w:pStyle w:val="3"/>
        <w:spacing w:line="360" w:lineRule="auto"/>
        <w:ind w:firstLine="724" w:firstLineChars="345"/>
        <w:rPr>
          <w:lang w:val="en-US"/>
        </w:rPr>
      </w:pPr>
      <w:r>
        <w:rPr>
          <w:position w:val="-12"/>
          <w:lang w:val="en-US"/>
        </w:rPr>
        <w:object>
          <v:shape id="_x0000_i1050" o:spt="75" type="#_x0000_t75" style="height:18.35pt;width:27.15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hint="eastAsia"/>
          <w:lang w:val="en-US"/>
        </w:rPr>
        <w:t>——第</w:t>
      </w:r>
      <w:r>
        <w:rPr>
          <w:position w:val="-6"/>
          <w:lang w:val="en-US"/>
        </w:rPr>
        <w:object>
          <v:shape id="_x0000_i1051" o:spt="75" type="#_x0000_t75" style="height:13.6pt;width:6.8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lang w:val="en-US"/>
        </w:rPr>
        <w:t>个假定光源照射时的建筑阴影率</w:t>
      </w:r>
      <w:r>
        <w:rPr>
          <w:rFonts w:hint="eastAsia"/>
          <w:lang w:val="en-US"/>
        </w:rPr>
        <w:t>（%），</w:t>
      </w:r>
      <w:r>
        <w:rPr>
          <w:position w:val="-6"/>
          <w:lang w:val="en-US"/>
        </w:rPr>
        <w:object>
          <v:shape id="_x0000_i1052" o:spt="75" type="#_x0000_t75" style="height:13.6pt;width:6.8pt;" o:ole="t" filled="f" o:preferrelative="t" stroked="f" coordsize="21600,21600">
            <v:path/>
            <v:fill on="f" focussize="0,0"/>
            <v:stroke on="f" joinstyle="miter"/>
            <v:imagedata r:id="rId56" o:title=""/>
            <o:lock v:ext="edit" aspectratio="t"/>
            <w10:wrap type="none"/>
            <w10:anchorlock/>
          </v:shape>
          <o:OLEObject Type="Embed" ProgID="Equation.DSMT4" ShapeID="_x0000_i1052" DrawAspect="Content" ObjectID="_1468075752" r:id="rId57">
            <o:LockedField>false</o:LockedField>
          </o:OLEObject>
        </w:object>
      </w:r>
      <w:r>
        <w:rPr>
          <w:rFonts w:hint="eastAsia"/>
          <w:lang w:val="en-US"/>
        </w:rPr>
        <w:t>=</w:t>
      </w:r>
      <w:r>
        <w:rPr>
          <w:lang w:val="en-US"/>
        </w:rPr>
        <w:t>1</w:t>
      </w:r>
      <w:r>
        <w:rPr>
          <w:rFonts w:hint="eastAsia"/>
          <w:lang w:val="en-US"/>
        </w:rPr>
        <w:t>、2</w:t>
      </w:r>
      <w:r>
        <w:rPr>
          <w:position w:val="-6"/>
          <w:lang w:val="en-US"/>
        </w:rPr>
        <w:object>
          <v:shape id="_x0000_i1053" o:spt="75" type="#_x0000_t75" style="height:10.85pt;width:19.7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r>
        <w:rPr>
          <w:rFonts w:hint="eastAsia"/>
          <w:lang w:val="en-US"/>
        </w:rPr>
        <w:t>。</w:t>
      </w:r>
    </w:p>
    <w:p>
      <w:pPr>
        <w:widowControl w:val="0"/>
        <w:spacing w:line="360" w:lineRule="auto"/>
        <w:jc w:val="both"/>
        <w:rPr>
          <w:kern w:val="2"/>
          <w:szCs w:val="21"/>
          <w:lang w:val="en-US"/>
        </w:rPr>
      </w:pPr>
      <w:r>
        <w:rPr>
          <w:rFonts w:hint="eastAsia"/>
          <w:kern w:val="2"/>
          <w:szCs w:val="21"/>
          <w:lang w:val="en-US"/>
        </w:rPr>
        <w:t>（</w:t>
      </w:r>
      <w:r>
        <w:rPr>
          <w:kern w:val="2"/>
          <w:szCs w:val="21"/>
          <w:lang w:val="en-US"/>
        </w:rPr>
        <w:t>2</w:t>
      </w:r>
      <w:r>
        <w:rPr>
          <w:rFonts w:hint="eastAsia"/>
          <w:kern w:val="2"/>
          <w:szCs w:val="21"/>
          <w:lang w:val="en-US"/>
        </w:rPr>
        <w:t>）居住区夏季平均热岛强度应按下式进行计算：</w:t>
      </w:r>
    </w:p>
    <w:p>
      <w:pPr>
        <w:widowControl w:val="0"/>
        <w:jc w:val="center"/>
        <w:rPr>
          <w:kern w:val="2"/>
          <w:sz w:val="24"/>
          <w:szCs w:val="22"/>
          <w:lang w:val="en-US"/>
        </w:rPr>
      </w:pPr>
      <w:r>
        <w:rPr>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013585" cy="465455"/>
                    </a:xfrm>
                    <a:prstGeom prst="rect">
                      <a:avLst/>
                    </a:prstGeom>
                    <a:noFill/>
                    <a:ln>
                      <a:noFill/>
                    </a:ln>
                  </pic:spPr>
                </pic:pic>
              </a:graphicData>
            </a:graphic>
          </wp:inline>
        </w:drawing>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33718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6959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 w:val="24"/>
          <w:szCs w:val="22"/>
          <w:lang w:val="en-US"/>
        </w:rPr>
        <w:t>、</w:t>
      </w:r>
      <w:r>
        <w:rPr>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Cs w:val="21"/>
          <w:lang w:val="en-US"/>
        </w:rPr>
        <w:t>~</w:t>
      </w:r>
      <w:r>
        <w:rPr>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w:t>
      </w:r>
      <w:r>
        <w:rPr>
          <w:kern w:val="2"/>
          <w:szCs w:val="21"/>
          <w:lang w:val="en-US"/>
        </w:rPr>
        <w:t>3</w:t>
      </w:r>
      <w:r>
        <w:rPr>
          <w:rFonts w:hint="eastAsia"/>
          <w:kern w:val="2"/>
          <w:szCs w:val="21"/>
          <w:lang w:val="en-US"/>
        </w:rPr>
        <w:t>）居住区逐时平均空气温度应按下式进行计算：</w:t>
      </w:r>
    </w:p>
    <w:p>
      <w:pPr>
        <w:widowControl w:val="0"/>
        <w:jc w:val="center"/>
        <w:rPr>
          <w:kern w:val="2"/>
          <w:sz w:val="24"/>
          <w:szCs w:val="22"/>
          <w:lang w:val="en-US"/>
        </w:rPr>
      </w:pPr>
      <w:r>
        <w:rPr>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534920" cy="256540"/>
                    </a:xfrm>
                    <a:prstGeom prst="rect">
                      <a:avLst/>
                    </a:prstGeom>
                    <a:noFill/>
                    <a:ln>
                      <a:noFill/>
                    </a:ln>
                  </pic:spPr>
                </pic:pic>
              </a:graphicData>
            </a:graphic>
          </wp:inline>
        </w:drawing>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4810" cy="216535"/>
                    </a:xfrm>
                    <a:prstGeom prst="rect">
                      <a:avLst/>
                    </a:prstGeom>
                    <a:noFill/>
                    <a:ln>
                      <a:noFill/>
                    </a:ln>
                  </pic:spPr>
                </pic:pic>
              </a:graphicData>
            </a:graphic>
          </wp:inline>
        </w:drawing>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48958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lang w:val="en-US"/>
        </w:rPr>
        <w:t>时刻蒸发换热引起的本时刻空气干球温度变化量</w:t>
      </w:r>
      <w:r>
        <w:rPr>
          <w:rFonts w:hint="eastAsia"/>
          <w:kern w:val="2"/>
          <w:lang w:val="en-US"/>
        </w:rPr>
        <w:t>（℃），按本标准式（B.0.4-1）的方法计算。</w:t>
      </w:r>
    </w:p>
    <w:p>
      <w:pPr>
        <w:pStyle w:val="2"/>
      </w:pPr>
      <w:bookmarkStart w:id="29" w:name="_Toc16494749"/>
      <w:r>
        <w:rPr>
          <w:rFonts w:hint="eastAsia"/>
        </w:rPr>
        <w:t>计算参数</w:t>
      </w:r>
      <w:bookmarkEnd w:id="29"/>
    </w:p>
    <w:p>
      <w:pPr>
        <w:pStyle w:val="4"/>
      </w:pPr>
      <w:bookmarkStart w:id="30" w:name="_Toc16494750"/>
      <w:r>
        <w:rPr>
          <w:rFonts w:hint="eastAsia"/>
        </w:rPr>
        <w:t>典型气象日气象参数</w:t>
      </w:r>
      <w:bookmarkEnd w:id="30"/>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干球温度</w:t>
            </w:r>
            <w:r>
              <w:br w:type="textWrapping"/>
            </w:r>
            <w:r>
              <w:t>(℃)</w:t>
            </w:r>
          </w:p>
        </w:tc>
        <w:tc>
          <w:tcPr>
            <w:shd w:val="clear" w:color="auto" w:fill="E6E6E6"/>
            <w:vAlign w:val="center"/>
          </w:tcPr>
          <w:p>
            <w:pPr>
              <w:jc w:val="center"/>
            </w:pPr>
            <w:r>
              <w:t>相对湿度(%)</w:t>
            </w:r>
          </w:p>
        </w:tc>
        <w:tc>
          <w:tcPr>
            <w:shd w:val="clear" w:color="auto" w:fill="E6E6E6"/>
            <w:vAlign w:val="center"/>
          </w:tcPr>
          <w:p>
            <w:pPr>
              <w:jc w:val="center"/>
            </w:pPr>
            <w:r>
              <w:t>水平总辐射照度</w:t>
            </w:r>
            <w:r>
              <w:br w:type="textWrapping"/>
            </w:r>
            <w:r>
              <w:t>(W/㎡)</w:t>
            </w:r>
          </w:p>
        </w:tc>
        <w:tc>
          <w:tcPr>
            <w:shd w:val="clear" w:color="auto" w:fill="E6E6E6"/>
            <w:vAlign w:val="center"/>
          </w:tcPr>
          <w:p>
            <w:pPr>
              <w:jc w:val="center"/>
            </w:pPr>
            <w:r>
              <w:t>水平散射辐射照度</w:t>
            </w:r>
            <w:r>
              <w:br w:type="textWrapping"/>
            </w:r>
            <w:r>
              <w:t>(W/㎡)</w:t>
            </w:r>
          </w:p>
        </w:tc>
        <w:tc>
          <w:tcPr>
            <w:shd w:val="clear" w:color="auto" w:fill="E6E6E6"/>
            <w:vAlign w:val="center"/>
          </w:tcPr>
          <w:p>
            <w:pPr>
              <w:jc w:val="center"/>
            </w:pPr>
            <w:r>
              <w:t>风速(m/s)</w:t>
            </w:r>
          </w:p>
        </w:tc>
        <w:tc>
          <w:tcPr>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26.6</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4.0</w:t>
            </w:r>
          </w:p>
        </w:tc>
        <w:tc>
          <w:tcPr>
            <w:vMerge w:val="restart"/>
            <w:vAlign w:val="center"/>
          </w:tcPr>
          <w:p>
            <w:pPr>
              <w:jc w:val="center"/>
            </w:pPr>
            <w:r>
              <w:t>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26.2</w:t>
            </w:r>
          </w:p>
        </w:tc>
        <w:tc>
          <w:tcPr>
            <w:vAlign w:val="center"/>
          </w:tcPr>
          <w:p>
            <w:pPr>
              <w:jc w:val="center"/>
            </w:pPr>
            <w:r>
              <w:t>91</w:t>
            </w:r>
          </w:p>
        </w:tc>
        <w:tc>
          <w:tcPr>
            <w:vAlign w:val="center"/>
          </w:tcPr>
          <w:p>
            <w:pPr>
              <w:jc w:val="center"/>
            </w:pPr>
            <w:r>
              <w:t>0.00</w:t>
            </w:r>
          </w:p>
        </w:tc>
        <w:tc>
          <w:tcPr>
            <w:vAlign w:val="center"/>
          </w:tcPr>
          <w:p>
            <w:pPr>
              <w:jc w:val="center"/>
            </w:pPr>
            <w:r>
              <w:t>0.00</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25.9</w:t>
            </w:r>
          </w:p>
        </w:tc>
        <w:tc>
          <w:tcPr>
            <w:vAlign w:val="center"/>
          </w:tcPr>
          <w:p>
            <w:pPr>
              <w:jc w:val="center"/>
            </w:pPr>
            <w:r>
              <w:t>92</w:t>
            </w:r>
          </w:p>
        </w:tc>
        <w:tc>
          <w:tcPr>
            <w:vAlign w:val="center"/>
          </w:tcPr>
          <w:p>
            <w:pPr>
              <w:jc w:val="center"/>
            </w:pPr>
            <w:r>
              <w:t>0.00</w:t>
            </w:r>
          </w:p>
        </w:tc>
        <w:tc>
          <w:tcPr>
            <w:vAlign w:val="center"/>
          </w:tcPr>
          <w:p>
            <w:pPr>
              <w:jc w:val="center"/>
            </w:pPr>
            <w:r>
              <w:t>0.00</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25.7</w:t>
            </w:r>
          </w:p>
        </w:tc>
        <w:tc>
          <w:tcPr>
            <w:vAlign w:val="center"/>
          </w:tcPr>
          <w:p>
            <w:pPr>
              <w:jc w:val="center"/>
            </w:pPr>
            <w:r>
              <w:t>91</w:t>
            </w:r>
          </w:p>
        </w:tc>
        <w:tc>
          <w:tcPr>
            <w:vAlign w:val="center"/>
          </w:tcPr>
          <w:p>
            <w:pPr>
              <w:jc w:val="center"/>
            </w:pPr>
            <w:r>
              <w:t>0.00</w:t>
            </w:r>
          </w:p>
        </w:tc>
        <w:tc>
          <w:tcPr>
            <w:vAlign w:val="center"/>
          </w:tcPr>
          <w:p>
            <w:pPr>
              <w:jc w:val="center"/>
            </w:pPr>
            <w:r>
              <w:t>0.00</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25.6</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25.7</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26.0</w:t>
            </w:r>
          </w:p>
        </w:tc>
        <w:tc>
          <w:tcPr>
            <w:vAlign w:val="center"/>
          </w:tcPr>
          <w:p>
            <w:pPr>
              <w:jc w:val="center"/>
            </w:pPr>
            <w:r>
              <w:t>86</w:t>
            </w:r>
          </w:p>
        </w:tc>
        <w:tc>
          <w:tcPr>
            <w:vAlign w:val="center"/>
          </w:tcPr>
          <w:p>
            <w:pPr>
              <w:jc w:val="center"/>
            </w:pPr>
            <w:r>
              <w:t>100.00</w:t>
            </w:r>
          </w:p>
        </w:tc>
        <w:tc>
          <w:tcPr>
            <w:vAlign w:val="center"/>
          </w:tcPr>
          <w:p>
            <w:pPr>
              <w:jc w:val="center"/>
            </w:pPr>
            <w:r>
              <w:t>66.67</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26.6</w:t>
            </w:r>
          </w:p>
        </w:tc>
        <w:tc>
          <w:tcPr>
            <w:vAlign w:val="center"/>
          </w:tcPr>
          <w:p>
            <w:pPr>
              <w:jc w:val="center"/>
            </w:pPr>
            <w:r>
              <w:t>83</w:t>
            </w:r>
          </w:p>
        </w:tc>
        <w:tc>
          <w:tcPr>
            <w:vAlign w:val="center"/>
          </w:tcPr>
          <w:p>
            <w:pPr>
              <w:jc w:val="center"/>
            </w:pPr>
            <w:r>
              <w:t>222.22</w:t>
            </w:r>
          </w:p>
        </w:tc>
        <w:tc>
          <w:tcPr>
            <w:vAlign w:val="center"/>
          </w:tcPr>
          <w:p>
            <w:pPr>
              <w:jc w:val="center"/>
            </w:pPr>
            <w:r>
              <w:t>127.78</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27.4</w:t>
            </w:r>
          </w:p>
        </w:tc>
        <w:tc>
          <w:tcPr>
            <w:vAlign w:val="center"/>
          </w:tcPr>
          <w:p>
            <w:pPr>
              <w:jc w:val="center"/>
            </w:pPr>
            <w:r>
              <w:t>79</w:t>
            </w:r>
          </w:p>
        </w:tc>
        <w:tc>
          <w:tcPr>
            <w:vAlign w:val="center"/>
          </w:tcPr>
          <w:p>
            <w:pPr>
              <w:jc w:val="center"/>
            </w:pPr>
            <w:r>
              <w:t>352.78</w:t>
            </w:r>
          </w:p>
        </w:tc>
        <w:tc>
          <w:tcPr>
            <w:vAlign w:val="center"/>
          </w:tcPr>
          <w:p>
            <w:pPr>
              <w:jc w:val="center"/>
            </w:pPr>
            <w:r>
              <w:t>183.33</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28.3</w:t>
            </w:r>
          </w:p>
        </w:tc>
        <w:tc>
          <w:tcPr>
            <w:vAlign w:val="center"/>
          </w:tcPr>
          <w:p>
            <w:pPr>
              <w:jc w:val="center"/>
            </w:pPr>
            <w:r>
              <w:t>75</w:t>
            </w:r>
          </w:p>
        </w:tc>
        <w:tc>
          <w:tcPr>
            <w:vAlign w:val="center"/>
          </w:tcPr>
          <w:p>
            <w:pPr>
              <w:jc w:val="center"/>
            </w:pPr>
            <w:r>
              <w:t>477.78</w:t>
            </w:r>
          </w:p>
        </w:tc>
        <w:tc>
          <w:tcPr>
            <w:vAlign w:val="center"/>
          </w:tcPr>
          <w:p>
            <w:pPr>
              <w:jc w:val="center"/>
            </w:pPr>
            <w:r>
              <w:t>230.56</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29.2</w:t>
            </w:r>
          </w:p>
        </w:tc>
        <w:tc>
          <w:tcPr>
            <w:vAlign w:val="center"/>
          </w:tcPr>
          <w:p>
            <w:pPr>
              <w:jc w:val="center"/>
            </w:pPr>
            <w:r>
              <w:t>71</w:t>
            </w:r>
          </w:p>
        </w:tc>
        <w:tc>
          <w:tcPr>
            <w:vAlign w:val="center"/>
          </w:tcPr>
          <w:p>
            <w:pPr>
              <w:jc w:val="center"/>
            </w:pPr>
            <w:r>
              <w:t>580.56</w:t>
            </w:r>
          </w:p>
        </w:tc>
        <w:tc>
          <w:tcPr>
            <w:vAlign w:val="center"/>
          </w:tcPr>
          <w:p>
            <w:pPr>
              <w:jc w:val="center"/>
            </w:pPr>
            <w:r>
              <w:t>266.67</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30.1</w:t>
            </w:r>
          </w:p>
        </w:tc>
        <w:tc>
          <w:tcPr>
            <w:vAlign w:val="center"/>
          </w:tcPr>
          <w:p>
            <w:pPr>
              <w:jc w:val="center"/>
            </w:pPr>
            <w:r>
              <w:t>68</w:t>
            </w:r>
          </w:p>
        </w:tc>
        <w:tc>
          <w:tcPr>
            <w:vAlign w:val="center"/>
          </w:tcPr>
          <w:p>
            <w:pPr>
              <w:jc w:val="center"/>
            </w:pPr>
            <w:r>
              <w:t>644.44</w:t>
            </w:r>
          </w:p>
        </w:tc>
        <w:tc>
          <w:tcPr>
            <w:vAlign w:val="center"/>
          </w:tcPr>
          <w:p>
            <w:pPr>
              <w:jc w:val="center"/>
            </w:pPr>
            <w:r>
              <w:t>286.11</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30.8</w:t>
            </w:r>
          </w:p>
        </w:tc>
        <w:tc>
          <w:tcPr>
            <w:vAlign w:val="center"/>
          </w:tcPr>
          <w:p>
            <w:pPr>
              <w:jc w:val="center"/>
            </w:pPr>
            <w:r>
              <w:t>65</w:t>
            </w:r>
          </w:p>
        </w:tc>
        <w:tc>
          <w:tcPr>
            <w:vAlign w:val="center"/>
          </w:tcPr>
          <w:p>
            <w:pPr>
              <w:jc w:val="center"/>
            </w:pPr>
            <w:r>
              <w:t>658.33</w:t>
            </w:r>
          </w:p>
        </w:tc>
        <w:tc>
          <w:tcPr>
            <w:vAlign w:val="center"/>
          </w:tcPr>
          <w:p>
            <w:pPr>
              <w:jc w:val="center"/>
            </w:pPr>
            <w:r>
              <w:t>291.67</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31.1</w:t>
            </w:r>
          </w:p>
        </w:tc>
        <w:tc>
          <w:tcPr>
            <w:vAlign w:val="center"/>
          </w:tcPr>
          <w:p>
            <w:pPr>
              <w:jc w:val="center"/>
            </w:pPr>
            <w:r>
              <w:t>64</w:t>
            </w:r>
          </w:p>
        </w:tc>
        <w:tc>
          <w:tcPr>
            <w:vAlign w:val="center"/>
          </w:tcPr>
          <w:p>
            <w:pPr>
              <w:jc w:val="center"/>
            </w:pPr>
            <w:r>
              <w:t>622.22</w:t>
            </w:r>
          </w:p>
        </w:tc>
        <w:tc>
          <w:tcPr>
            <w:vAlign w:val="center"/>
          </w:tcPr>
          <w:p>
            <w:pPr>
              <w:jc w:val="center"/>
            </w:pPr>
            <w:r>
              <w:t>280.56</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31.0</w:t>
            </w:r>
          </w:p>
        </w:tc>
        <w:tc>
          <w:tcPr>
            <w:vAlign w:val="center"/>
          </w:tcPr>
          <w:p>
            <w:pPr>
              <w:jc w:val="center"/>
            </w:pPr>
            <w:r>
              <w:t>64</w:t>
            </w:r>
          </w:p>
        </w:tc>
        <w:tc>
          <w:tcPr>
            <w:vAlign w:val="center"/>
          </w:tcPr>
          <w:p>
            <w:pPr>
              <w:jc w:val="center"/>
            </w:pPr>
            <w:r>
              <w:t>541.67</w:t>
            </w:r>
          </w:p>
        </w:tc>
        <w:tc>
          <w:tcPr>
            <w:vAlign w:val="center"/>
          </w:tcPr>
          <w:p>
            <w:pPr>
              <w:jc w:val="center"/>
            </w:pPr>
            <w:r>
              <w:t>252.78</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30.7</w:t>
            </w:r>
          </w:p>
        </w:tc>
        <w:tc>
          <w:tcPr>
            <w:vAlign w:val="center"/>
          </w:tcPr>
          <w:p>
            <w:pPr>
              <w:jc w:val="center"/>
            </w:pPr>
            <w:r>
              <w:t>66</w:t>
            </w:r>
          </w:p>
        </w:tc>
        <w:tc>
          <w:tcPr>
            <w:vAlign w:val="center"/>
          </w:tcPr>
          <w:p>
            <w:pPr>
              <w:jc w:val="center"/>
            </w:pPr>
            <w:r>
              <w:t>427.78</w:t>
            </w:r>
          </w:p>
        </w:tc>
        <w:tc>
          <w:tcPr>
            <w:vAlign w:val="center"/>
          </w:tcPr>
          <w:p>
            <w:pPr>
              <w:jc w:val="center"/>
            </w:pPr>
            <w:r>
              <w:t>211.11</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30.1</w:t>
            </w:r>
          </w:p>
        </w:tc>
        <w:tc>
          <w:tcPr>
            <w:vAlign w:val="center"/>
          </w:tcPr>
          <w:p>
            <w:pPr>
              <w:jc w:val="center"/>
            </w:pPr>
            <w:r>
              <w:t>68</w:t>
            </w:r>
          </w:p>
        </w:tc>
        <w:tc>
          <w:tcPr>
            <w:vAlign w:val="center"/>
          </w:tcPr>
          <w:p>
            <w:pPr>
              <w:jc w:val="center"/>
            </w:pPr>
            <w:r>
              <w:t>300.00</w:t>
            </w:r>
          </w:p>
        </w:tc>
        <w:tc>
          <w:tcPr>
            <w:vAlign w:val="center"/>
          </w:tcPr>
          <w:p>
            <w:pPr>
              <w:jc w:val="center"/>
            </w:pPr>
            <w:r>
              <w:t>161.11</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29.4</w:t>
            </w:r>
          </w:p>
        </w:tc>
        <w:tc>
          <w:tcPr>
            <w:vAlign w:val="center"/>
          </w:tcPr>
          <w:p>
            <w:pPr>
              <w:jc w:val="center"/>
            </w:pPr>
            <w:r>
              <w:t>72</w:t>
            </w:r>
          </w:p>
        </w:tc>
        <w:tc>
          <w:tcPr>
            <w:vAlign w:val="center"/>
          </w:tcPr>
          <w:p>
            <w:pPr>
              <w:jc w:val="center"/>
            </w:pPr>
            <w:r>
              <w:t>169.44</w:t>
            </w:r>
          </w:p>
        </w:tc>
        <w:tc>
          <w:tcPr>
            <w:vAlign w:val="center"/>
          </w:tcPr>
          <w:p>
            <w:pPr>
              <w:jc w:val="center"/>
            </w:pPr>
            <w:r>
              <w:t>100.00</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28.7</w:t>
            </w:r>
          </w:p>
        </w:tc>
        <w:tc>
          <w:tcPr>
            <w:vAlign w:val="center"/>
          </w:tcPr>
          <w:p>
            <w:pPr>
              <w:jc w:val="center"/>
            </w:pPr>
            <w:r>
              <w:t>75</w:t>
            </w:r>
          </w:p>
        </w:tc>
        <w:tc>
          <w:tcPr>
            <w:vAlign w:val="center"/>
          </w:tcPr>
          <w:p>
            <w:pPr>
              <w:jc w:val="center"/>
            </w:pPr>
            <w:r>
              <w:t>55.56</w:t>
            </w:r>
          </w:p>
        </w:tc>
        <w:tc>
          <w:tcPr>
            <w:vAlign w:val="center"/>
          </w:tcPr>
          <w:p>
            <w:pPr>
              <w:jc w:val="center"/>
            </w:pPr>
            <w:r>
              <w:t>36.11</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28.1</w:t>
            </w:r>
          </w:p>
        </w:tc>
        <w:tc>
          <w:tcPr>
            <w:vAlign w:val="center"/>
          </w:tcPr>
          <w:p>
            <w:pPr>
              <w:jc w:val="center"/>
            </w:pPr>
            <w:r>
              <w:t>78</w:t>
            </w:r>
          </w:p>
        </w:tc>
        <w:tc>
          <w:tcPr>
            <w:vAlign w:val="center"/>
          </w:tcPr>
          <w:p>
            <w:pPr>
              <w:jc w:val="center"/>
            </w:pPr>
            <w:r>
              <w:t>0.00</w:t>
            </w:r>
          </w:p>
        </w:tc>
        <w:tc>
          <w:tcPr>
            <w:vAlign w:val="center"/>
          </w:tcPr>
          <w:p>
            <w:pPr>
              <w:jc w:val="center"/>
            </w:pPr>
            <w:r>
              <w:t>0.00</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27.7</w:t>
            </w:r>
          </w:p>
        </w:tc>
        <w:tc>
          <w:tcPr>
            <w:vAlign w:val="center"/>
          </w:tcPr>
          <w:p>
            <w:pPr>
              <w:jc w:val="center"/>
            </w:pPr>
            <w:r>
              <w:t>81</w:t>
            </w:r>
          </w:p>
        </w:tc>
        <w:tc>
          <w:tcPr>
            <w:vAlign w:val="center"/>
          </w:tcPr>
          <w:p>
            <w:pPr>
              <w:jc w:val="center"/>
            </w:pPr>
            <w:r>
              <w:t>0.00</w:t>
            </w:r>
          </w:p>
        </w:tc>
        <w:tc>
          <w:tcPr>
            <w:vAlign w:val="center"/>
          </w:tcPr>
          <w:p>
            <w:pPr>
              <w:jc w:val="center"/>
            </w:pPr>
            <w:r>
              <w:t>0.00</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27.5</w:t>
            </w:r>
          </w:p>
        </w:tc>
        <w:tc>
          <w:tcPr>
            <w:vAlign w:val="center"/>
          </w:tcPr>
          <w:p>
            <w:pPr>
              <w:jc w:val="center"/>
            </w:pPr>
            <w:r>
              <w:t>83</w:t>
            </w:r>
          </w:p>
        </w:tc>
        <w:tc>
          <w:tcPr>
            <w:vAlign w:val="center"/>
          </w:tcPr>
          <w:p>
            <w:pPr>
              <w:jc w:val="center"/>
            </w:pPr>
            <w:r>
              <w:t>0.00</w:t>
            </w:r>
          </w:p>
        </w:tc>
        <w:tc>
          <w:tcPr>
            <w:vAlign w:val="center"/>
          </w:tcPr>
          <w:p>
            <w:pPr>
              <w:jc w:val="center"/>
            </w:pPr>
            <w:r>
              <w:t>0.00</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27.4</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27.4</w:t>
            </w:r>
          </w:p>
        </w:tc>
        <w:tc>
          <w:tcPr>
            <w:vAlign w:val="center"/>
          </w:tcPr>
          <w:p>
            <w:pPr>
              <w:jc w:val="center"/>
            </w:pPr>
            <w:r>
              <w:t>86</w:t>
            </w:r>
          </w:p>
        </w:tc>
        <w:tc>
          <w:tcPr>
            <w:vAlign w:val="center"/>
          </w:tcPr>
          <w:p>
            <w:pPr>
              <w:jc w:val="center"/>
            </w:pPr>
            <w:r>
              <w:t>0.00</w:t>
            </w:r>
          </w:p>
        </w:tc>
        <w:tc>
          <w:tcPr>
            <w:vAlign w:val="center"/>
          </w:tcPr>
          <w:p>
            <w:pPr>
              <w:jc w:val="center"/>
            </w:pPr>
            <w:r>
              <w:t>0.00</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日平均</w:t>
            </w:r>
          </w:p>
        </w:tc>
        <w:tc>
          <w:tcPr>
            <w:vAlign w:val="center"/>
          </w:tcPr>
          <w:p>
            <w:pPr>
              <w:jc w:val="center"/>
            </w:pPr>
            <w:r>
              <w:t>28.1</w:t>
            </w:r>
          </w:p>
        </w:tc>
        <w:tc>
          <w:tcPr>
            <w:vAlign w:val="center"/>
          </w:tcPr>
          <w:p>
            <w:pPr>
              <w:jc w:val="center"/>
            </w:pPr>
            <w:r>
              <w:t>79</w:t>
            </w:r>
          </w:p>
        </w:tc>
        <w:tc>
          <w:tcPr>
            <w:vAlign w:val="center"/>
          </w:tcPr>
          <w:p>
            <w:pPr>
              <w:jc w:val="center"/>
            </w:pPr>
            <w:r>
              <w:t>214.70</w:t>
            </w:r>
          </w:p>
        </w:tc>
        <w:tc>
          <w:tcPr>
            <w:vAlign w:val="center"/>
          </w:tcPr>
          <w:p>
            <w:pPr>
              <w:jc w:val="center"/>
            </w:pPr>
            <w:r>
              <w:t>103.94</w:t>
            </w:r>
          </w:p>
        </w:tc>
        <w:tc>
          <w:tcPr>
            <w:vAlign w:val="center"/>
          </w:tcPr>
          <w:p>
            <w:pPr>
              <w:jc w:val="center"/>
            </w:pPr>
            <w:r>
              <w:t>4.3</w:t>
            </w:r>
          </w:p>
        </w:tc>
        <w:tc>
          <w:tcPr>
            <w:vMerge w:val="continue"/>
            <w:vAlign w:val="center"/>
          </w:tcPr>
          <w:p>
            <w:pPr>
              <w:jc w:val="center"/>
            </w:pPr>
          </w:p>
        </w:tc>
      </w:tr>
    </w:tbl>
    <w:p>
      <w:pPr>
        <w:pStyle w:val="3"/>
        <w:ind w:firstLine="0" w:firstLineChars="0"/>
        <w:rPr>
          <w:lang w:val="en-US"/>
        </w:rPr>
      </w:pPr>
      <w:bookmarkStart w:id="31" w:name="气象参数"/>
      <w:bookmarkEnd w:id="31"/>
    </w:p>
    <w:p>
      <w:pPr>
        <w:pStyle w:val="4"/>
      </w:pPr>
      <w:bookmarkStart w:id="32" w:name="_Toc16494751"/>
      <w:r>
        <w:rPr>
          <w:rFonts w:hint="eastAsia"/>
        </w:rPr>
        <w:t>渗透面夏季逐时蒸发量</w:t>
      </w:r>
      <w:bookmarkEnd w:id="32"/>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水面(kg/(㎡.h))</w:t>
            </w:r>
          </w:p>
        </w:tc>
        <w:tc>
          <w:tcPr>
            <w:shd w:val="clear" w:color="auto" w:fill="E6E6E6"/>
            <w:vAlign w:val="center"/>
          </w:tcPr>
          <w:p>
            <w:pPr>
              <w:jc w:val="center"/>
            </w:pPr>
            <w:r>
              <w:t>绿地(kg/(㎡.h))</w:t>
            </w:r>
          </w:p>
        </w:tc>
        <w:tc>
          <w:tcPr>
            <w:shd w:val="clear" w:color="auto" w:fill="E6E6E6"/>
            <w:vAlign w:val="center"/>
          </w:tcPr>
          <w:p>
            <w:pPr>
              <w:jc w:val="center"/>
            </w:pPr>
            <w:r>
              <w:t>渗透型硬地</w:t>
            </w:r>
            <w:r>
              <w:br w:type="textWrapping"/>
            </w:r>
            <w:r>
              <w:t>(kg/(㎡.h))</w:t>
            </w:r>
          </w:p>
        </w:tc>
        <w:tc>
          <w:tcPr>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0.09</w:t>
            </w:r>
          </w:p>
        </w:tc>
        <w:tc>
          <w:tcPr>
            <w:vAlign w:val="center"/>
          </w:tcPr>
          <w:p>
            <w:pPr>
              <w:jc w:val="center"/>
            </w:pPr>
            <w:r>
              <w:t>0.24</w:t>
            </w:r>
          </w:p>
        </w:tc>
        <w:tc>
          <w:tcPr>
            <w:vAlign w:val="center"/>
          </w:tcPr>
          <w:p>
            <w:pPr>
              <w:jc w:val="center"/>
            </w:pPr>
            <w:r>
              <w:t>0.07</w:t>
            </w:r>
          </w:p>
        </w:tc>
        <w:tc>
          <w:tcPr>
            <w:vAlign w:val="center"/>
          </w:tcPr>
          <w:p>
            <w:pPr>
              <w:jc w:val="center"/>
            </w:pPr>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0.10</w:t>
            </w:r>
          </w:p>
        </w:tc>
        <w:tc>
          <w:tcPr>
            <w:vAlign w:val="center"/>
          </w:tcPr>
          <w:p>
            <w:pPr>
              <w:jc w:val="center"/>
            </w:pPr>
            <w:r>
              <w:t>0.19</w:t>
            </w:r>
          </w:p>
        </w:tc>
        <w:tc>
          <w:tcPr>
            <w:vAlign w:val="center"/>
          </w:tcPr>
          <w:p>
            <w:pPr>
              <w:jc w:val="center"/>
            </w:pPr>
            <w:r>
              <w:t>0.06</w:t>
            </w:r>
          </w:p>
        </w:tc>
        <w:tc>
          <w:tcPr>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0.08</w:t>
            </w:r>
          </w:p>
        </w:tc>
        <w:tc>
          <w:tcPr>
            <w:vAlign w:val="center"/>
          </w:tcPr>
          <w:p>
            <w:pPr>
              <w:jc w:val="center"/>
            </w:pPr>
            <w:r>
              <w:t>0.15</w:t>
            </w:r>
          </w:p>
        </w:tc>
        <w:tc>
          <w:tcPr>
            <w:vAlign w:val="center"/>
          </w:tcPr>
          <w:p>
            <w:pPr>
              <w:jc w:val="center"/>
            </w:pPr>
            <w:r>
              <w:t>0.06</w:t>
            </w:r>
          </w:p>
        </w:tc>
        <w:tc>
          <w:tcPr>
            <w:vAlign w:val="center"/>
          </w:tcPr>
          <w:p>
            <w:pPr>
              <w:jc w:val="center"/>
            </w:pPr>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0.08</w:t>
            </w:r>
          </w:p>
        </w:tc>
        <w:tc>
          <w:tcPr>
            <w:vAlign w:val="center"/>
          </w:tcPr>
          <w:p>
            <w:pPr>
              <w:jc w:val="center"/>
            </w:pPr>
            <w:r>
              <w:t>0.14</w:t>
            </w:r>
          </w:p>
        </w:tc>
        <w:tc>
          <w:tcPr>
            <w:vAlign w:val="center"/>
          </w:tcPr>
          <w:p>
            <w:pPr>
              <w:jc w:val="center"/>
            </w:pPr>
            <w:r>
              <w:t>0.05</w:t>
            </w:r>
          </w:p>
        </w:tc>
        <w:tc>
          <w:tcPr>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0.09</w:t>
            </w:r>
          </w:p>
        </w:tc>
        <w:tc>
          <w:tcPr>
            <w:vAlign w:val="center"/>
          </w:tcPr>
          <w:p>
            <w:pPr>
              <w:jc w:val="center"/>
            </w:pPr>
            <w:r>
              <w:t>0.13</w:t>
            </w:r>
          </w:p>
        </w:tc>
        <w:tc>
          <w:tcPr>
            <w:vAlign w:val="center"/>
          </w:tcPr>
          <w:p>
            <w:pPr>
              <w:jc w:val="center"/>
            </w:pPr>
            <w:r>
              <w:t>0.05</w:t>
            </w:r>
          </w:p>
        </w:tc>
        <w:tc>
          <w:tcPr>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0.07</w:t>
            </w:r>
          </w:p>
        </w:tc>
        <w:tc>
          <w:tcPr>
            <w:vAlign w:val="center"/>
          </w:tcPr>
          <w:p>
            <w:pPr>
              <w:jc w:val="center"/>
            </w:pPr>
            <w:r>
              <w:t>0.16</w:t>
            </w:r>
          </w:p>
        </w:tc>
        <w:tc>
          <w:tcPr>
            <w:vAlign w:val="center"/>
          </w:tcPr>
          <w:p>
            <w:pPr>
              <w:jc w:val="center"/>
            </w:pPr>
            <w:r>
              <w:t>0.05</w:t>
            </w:r>
          </w:p>
        </w:tc>
        <w:tc>
          <w:tcPr>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0.18</w:t>
            </w:r>
          </w:p>
        </w:tc>
        <w:tc>
          <w:tcPr>
            <w:vAlign w:val="center"/>
          </w:tcPr>
          <w:p>
            <w:pPr>
              <w:jc w:val="center"/>
            </w:pPr>
            <w:r>
              <w:t>0.22</w:t>
            </w:r>
          </w:p>
        </w:tc>
        <w:tc>
          <w:tcPr>
            <w:vAlign w:val="center"/>
          </w:tcPr>
          <w:p>
            <w:pPr>
              <w:jc w:val="center"/>
            </w:pPr>
            <w:r>
              <w:t>0.08</w:t>
            </w:r>
          </w:p>
        </w:tc>
        <w:tc>
          <w:tcPr>
            <w:vAlign w:val="center"/>
          </w:tcPr>
          <w:p>
            <w:pPr>
              <w:jc w:val="center"/>
            </w:pPr>
            <w:r>
              <w:t>0.18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0.34</w:t>
            </w:r>
          </w:p>
        </w:tc>
        <w:tc>
          <w:tcPr>
            <w:vAlign w:val="center"/>
          </w:tcPr>
          <w:p>
            <w:pPr>
              <w:jc w:val="center"/>
            </w:pPr>
            <w:r>
              <w:t>0.33</w:t>
            </w:r>
          </w:p>
        </w:tc>
        <w:tc>
          <w:tcPr>
            <w:vAlign w:val="center"/>
          </w:tcPr>
          <w:p>
            <w:pPr>
              <w:jc w:val="center"/>
            </w:pPr>
            <w:r>
              <w:t>0.09</w:t>
            </w:r>
          </w:p>
        </w:tc>
        <w:tc>
          <w:tcPr>
            <w:vAlign w:val="center"/>
          </w:tcPr>
          <w:p>
            <w:pPr>
              <w:jc w:val="center"/>
            </w:pPr>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0.52</w:t>
            </w:r>
          </w:p>
        </w:tc>
        <w:tc>
          <w:tcPr>
            <w:vAlign w:val="center"/>
          </w:tcPr>
          <w:p>
            <w:pPr>
              <w:jc w:val="center"/>
            </w:pPr>
            <w:r>
              <w:t>0.43</w:t>
            </w:r>
          </w:p>
        </w:tc>
        <w:tc>
          <w:tcPr>
            <w:vAlign w:val="center"/>
          </w:tcPr>
          <w:p>
            <w:pPr>
              <w:jc w:val="center"/>
            </w:pPr>
            <w:r>
              <w:t>0.10</w:t>
            </w:r>
          </w:p>
        </w:tc>
        <w:tc>
          <w:tcPr>
            <w:vAlign w:val="center"/>
          </w:tcPr>
          <w:p>
            <w:pPr>
              <w:jc w:val="center"/>
            </w:pPr>
            <w:r>
              <w:t>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0.75</w:t>
            </w:r>
          </w:p>
        </w:tc>
        <w:tc>
          <w:tcPr>
            <w:vAlign w:val="center"/>
          </w:tcPr>
          <w:p>
            <w:pPr>
              <w:jc w:val="center"/>
            </w:pPr>
            <w:r>
              <w:t>0.53</w:t>
            </w:r>
          </w:p>
        </w:tc>
        <w:tc>
          <w:tcPr>
            <w:vAlign w:val="center"/>
          </w:tcPr>
          <w:p>
            <w:pPr>
              <w:jc w:val="center"/>
            </w:pPr>
            <w:r>
              <w:t>0.10</w:t>
            </w:r>
          </w:p>
        </w:tc>
        <w:tc>
          <w:tcPr>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0.89</w:t>
            </w:r>
          </w:p>
        </w:tc>
        <w:tc>
          <w:tcPr>
            <w:vAlign w:val="center"/>
          </w:tcPr>
          <w:p>
            <w:pPr>
              <w:jc w:val="center"/>
            </w:pPr>
            <w:r>
              <w:t>0.55</w:t>
            </w:r>
          </w:p>
        </w:tc>
        <w:tc>
          <w:tcPr>
            <w:vAlign w:val="center"/>
          </w:tcPr>
          <w:p>
            <w:pPr>
              <w:jc w:val="center"/>
            </w:pPr>
            <w:r>
              <w:t>0.10</w:t>
            </w:r>
          </w:p>
        </w:tc>
        <w:tc>
          <w:tcPr>
            <w:vAlign w:val="center"/>
          </w:tcPr>
          <w:p>
            <w:pPr>
              <w:jc w:val="center"/>
            </w:pPr>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1.05</w:t>
            </w:r>
          </w:p>
        </w:tc>
        <w:tc>
          <w:tcPr>
            <w:vAlign w:val="center"/>
          </w:tcPr>
          <w:p>
            <w:pPr>
              <w:jc w:val="center"/>
            </w:pPr>
            <w:r>
              <w:t>0.54</w:t>
            </w:r>
          </w:p>
        </w:tc>
        <w:tc>
          <w:tcPr>
            <w:vAlign w:val="center"/>
          </w:tcPr>
          <w:p>
            <w:pPr>
              <w:jc w:val="center"/>
            </w:pPr>
            <w:r>
              <w:t>0.10</w:t>
            </w:r>
          </w:p>
        </w:tc>
        <w:tc>
          <w:tcPr>
            <w:vAlign w:val="center"/>
          </w:tcPr>
          <w:p>
            <w:pPr>
              <w:jc w:val="center"/>
            </w:pPr>
            <w:r>
              <w:t>0.43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1.11</w:t>
            </w:r>
          </w:p>
        </w:tc>
        <w:tc>
          <w:tcPr>
            <w:vAlign w:val="center"/>
          </w:tcPr>
          <w:p>
            <w:pPr>
              <w:jc w:val="center"/>
            </w:pPr>
            <w:r>
              <w:t>0.50</w:t>
            </w:r>
          </w:p>
        </w:tc>
        <w:tc>
          <w:tcPr>
            <w:vAlign w:val="center"/>
          </w:tcPr>
          <w:p>
            <w:pPr>
              <w:jc w:val="center"/>
            </w:pPr>
            <w:r>
              <w:t>0.09</w:t>
            </w:r>
          </w:p>
        </w:tc>
        <w:tc>
          <w:tcPr>
            <w:vAlign w:val="center"/>
          </w:tcPr>
          <w:p>
            <w:pPr>
              <w:jc w:val="center"/>
            </w:pPr>
            <w: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1.03</w:t>
            </w:r>
          </w:p>
        </w:tc>
        <w:tc>
          <w:tcPr>
            <w:vAlign w:val="center"/>
          </w:tcPr>
          <w:p>
            <w:pPr>
              <w:jc w:val="center"/>
            </w:pPr>
            <w:r>
              <w:t>0.43</w:t>
            </w:r>
          </w:p>
        </w:tc>
        <w:tc>
          <w:tcPr>
            <w:vAlign w:val="center"/>
          </w:tcPr>
          <w:p>
            <w:pPr>
              <w:jc w:val="center"/>
            </w:pPr>
            <w:r>
              <w:t>0.09</w:t>
            </w:r>
          </w:p>
        </w:tc>
        <w:tc>
          <w:tcPr>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0.92</w:t>
            </w:r>
          </w:p>
        </w:tc>
        <w:tc>
          <w:tcPr>
            <w:vAlign w:val="center"/>
          </w:tcPr>
          <w:p>
            <w:pPr>
              <w:jc w:val="center"/>
            </w:pPr>
            <w:r>
              <w:t>0.34</w:t>
            </w:r>
          </w:p>
        </w:tc>
        <w:tc>
          <w:tcPr>
            <w:vAlign w:val="center"/>
          </w:tcPr>
          <w:p>
            <w:pPr>
              <w:jc w:val="center"/>
            </w:pPr>
            <w:r>
              <w:t>0.06</w:t>
            </w:r>
          </w:p>
        </w:tc>
        <w:tc>
          <w:tcPr>
            <w:vAlign w:val="center"/>
          </w:tcPr>
          <w:p>
            <w:pPr>
              <w:jc w:val="center"/>
            </w:pPr>
            <w:r>
              <w:t>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0.78</w:t>
            </w:r>
          </w:p>
        </w:tc>
        <w:tc>
          <w:tcPr>
            <w:vAlign w:val="center"/>
          </w:tcPr>
          <w:p>
            <w:pPr>
              <w:jc w:val="center"/>
            </w:pPr>
            <w:r>
              <w:t>0.29</w:t>
            </w:r>
          </w:p>
        </w:tc>
        <w:tc>
          <w:tcPr>
            <w:vAlign w:val="center"/>
          </w:tcPr>
          <w:p>
            <w:pPr>
              <w:jc w:val="center"/>
            </w:pPr>
            <w:r>
              <w:t>0.04</w:t>
            </w:r>
          </w:p>
        </w:tc>
        <w:tc>
          <w:tcPr>
            <w:vAlign w:val="center"/>
          </w:tcPr>
          <w:p>
            <w:pPr>
              <w:jc w:val="center"/>
            </w:pPr>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0.60</w:t>
            </w:r>
          </w:p>
        </w:tc>
        <w:tc>
          <w:tcPr>
            <w:vAlign w:val="center"/>
          </w:tcPr>
          <w:p>
            <w:pPr>
              <w:jc w:val="center"/>
            </w:pPr>
            <w:r>
              <w:t>0.22</w:t>
            </w:r>
          </w:p>
        </w:tc>
        <w:tc>
          <w:tcPr>
            <w:vAlign w:val="center"/>
          </w:tcPr>
          <w:p>
            <w:pPr>
              <w:jc w:val="center"/>
            </w:pPr>
            <w:r>
              <w:t>0.04</w:t>
            </w:r>
          </w:p>
        </w:tc>
        <w:tc>
          <w:tcPr>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0.39</w:t>
            </w:r>
          </w:p>
        </w:tc>
        <w:tc>
          <w:tcPr>
            <w:vAlign w:val="center"/>
          </w:tcPr>
          <w:p>
            <w:pPr>
              <w:jc w:val="center"/>
            </w:pPr>
            <w:r>
              <w:t>0.16</w:t>
            </w:r>
          </w:p>
        </w:tc>
        <w:tc>
          <w:tcPr>
            <w:vAlign w:val="center"/>
          </w:tcPr>
          <w:p>
            <w:pPr>
              <w:jc w:val="center"/>
            </w:pPr>
            <w:r>
              <w:t>0.02</w:t>
            </w:r>
          </w:p>
        </w:tc>
        <w:tc>
          <w:tcPr>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0.28</w:t>
            </w:r>
          </w:p>
        </w:tc>
        <w:tc>
          <w:tcPr>
            <w:vAlign w:val="center"/>
          </w:tcPr>
          <w:p>
            <w:pPr>
              <w:jc w:val="center"/>
            </w:pPr>
            <w:r>
              <w:t>0.12</w:t>
            </w:r>
          </w:p>
        </w:tc>
        <w:tc>
          <w:tcPr>
            <w:vAlign w:val="center"/>
          </w:tcPr>
          <w:p>
            <w:pPr>
              <w:jc w:val="center"/>
            </w:pPr>
            <w:r>
              <w:t>0.02</w:t>
            </w:r>
          </w:p>
        </w:tc>
        <w:tc>
          <w:tcPr>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0.20</w:t>
            </w:r>
          </w:p>
        </w:tc>
        <w:tc>
          <w:tcPr>
            <w:vAlign w:val="center"/>
          </w:tcPr>
          <w:p>
            <w:pPr>
              <w:jc w:val="center"/>
            </w:pPr>
            <w:r>
              <w:t>0.10</w:t>
            </w:r>
          </w:p>
        </w:tc>
        <w:tc>
          <w:tcPr>
            <w:vAlign w:val="center"/>
          </w:tcPr>
          <w:p>
            <w:pPr>
              <w:jc w:val="center"/>
            </w:pPr>
            <w:r>
              <w:t>0.01</w:t>
            </w:r>
          </w:p>
        </w:tc>
        <w:tc>
          <w:tcPr>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0.15</w:t>
            </w:r>
          </w:p>
        </w:tc>
        <w:tc>
          <w:tcPr>
            <w:vAlign w:val="center"/>
          </w:tcPr>
          <w:p>
            <w:pPr>
              <w:jc w:val="center"/>
            </w:pPr>
            <w:r>
              <w:t>0.07</w:t>
            </w:r>
          </w:p>
        </w:tc>
        <w:tc>
          <w:tcPr>
            <w:vAlign w:val="center"/>
          </w:tcPr>
          <w:p>
            <w:pPr>
              <w:jc w:val="center"/>
            </w:pPr>
            <w:r>
              <w:t>0.01</w:t>
            </w:r>
          </w:p>
        </w:tc>
        <w:tc>
          <w:tcPr>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0.14</w:t>
            </w:r>
          </w:p>
        </w:tc>
        <w:tc>
          <w:tcPr>
            <w:vAlign w:val="center"/>
          </w:tcPr>
          <w:p>
            <w:pPr>
              <w:jc w:val="center"/>
            </w:pPr>
            <w:r>
              <w:t>0.07</w:t>
            </w:r>
          </w:p>
        </w:tc>
        <w:tc>
          <w:tcPr>
            <w:vAlign w:val="center"/>
          </w:tcPr>
          <w:p>
            <w:pPr>
              <w:jc w:val="center"/>
            </w:pPr>
            <w:r>
              <w:t>0.00</w:t>
            </w:r>
          </w:p>
        </w:tc>
        <w:tc>
          <w:tcPr>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0.11</w:t>
            </w:r>
          </w:p>
        </w:tc>
        <w:tc>
          <w:tcPr>
            <w:vAlign w:val="center"/>
          </w:tcPr>
          <w:p>
            <w:pPr>
              <w:jc w:val="center"/>
            </w:pPr>
            <w:r>
              <w:t>0.07</w:t>
            </w:r>
          </w:p>
        </w:tc>
        <w:tc>
          <w:tcPr>
            <w:vAlign w:val="center"/>
          </w:tcPr>
          <w:p>
            <w:pPr>
              <w:jc w:val="center"/>
            </w:pPr>
            <w:r>
              <w:t>0.01</w:t>
            </w:r>
          </w:p>
        </w:tc>
        <w:tc>
          <w:tcPr>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0.11</w:t>
            </w:r>
          </w:p>
        </w:tc>
        <w:tc>
          <w:tcPr>
            <w:vAlign w:val="center"/>
          </w:tcPr>
          <w:p>
            <w:pPr>
              <w:jc w:val="center"/>
            </w:pPr>
            <w:r>
              <w:t>0.05</w:t>
            </w:r>
          </w:p>
        </w:tc>
        <w:tc>
          <w:tcPr>
            <w:vAlign w:val="center"/>
          </w:tcPr>
          <w:p>
            <w:pPr>
              <w:jc w:val="center"/>
            </w:pPr>
            <w:r>
              <w:t>0.00</w:t>
            </w:r>
          </w:p>
        </w:tc>
        <w:tc>
          <w:tcPr>
            <w:vAlign w:val="center"/>
          </w:tcPr>
          <w:p>
            <w:pPr>
              <w:jc w:val="center"/>
            </w:pPr>
            <w:r>
              <w:t>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日累计(kg/(㎡.d))</w:t>
            </w:r>
          </w:p>
        </w:tc>
        <w:tc>
          <w:tcPr>
            <w:vAlign w:val="center"/>
          </w:tcPr>
          <w:p>
            <w:pPr>
              <w:jc w:val="center"/>
            </w:pPr>
            <w:r>
              <w:t>10.06</w:t>
            </w:r>
          </w:p>
        </w:tc>
        <w:tc>
          <w:tcPr>
            <w:vAlign w:val="center"/>
          </w:tcPr>
          <w:p>
            <w:pPr>
              <w:jc w:val="center"/>
            </w:pPr>
            <w:r>
              <w:t>6.03</w:t>
            </w:r>
          </w:p>
        </w:tc>
        <w:tc>
          <w:tcPr>
            <w:vAlign w:val="center"/>
          </w:tcPr>
          <w:p>
            <w:pPr>
              <w:jc w:val="center"/>
            </w:pPr>
            <w:r>
              <w:t>1.30</w:t>
            </w:r>
          </w:p>
        </w:tc>
        <w:tc>
          <w:tcPr>
            <w:vAlign w:val="center"/>
          </w:tcPr>
          <w:p>
            <w:pPr>
              <w:jc w:val="center"/>
            </w:pPr>
            <w:r>
              <w:t>4.80</w:t>
            </w:r>
          </w:p>
        </w:tc>
      </w:tr>
    </w:tbl>
    <w:p>
      <w:pPr>
        <w:pStyle w:val="3"/>
        <w:ind w:firstLine="0" w:firstLineChars="0"/>
        <w:rPr>
          <w:lang w:val="en-US"/>
        </w:rPr>
      </w:pPr>
      <w:bookmarkStart w:id="33" w:name="蒸发量参数"/>
      <w:bookmarkEnd w:id="33"/>
    </w:p>
    <w:p>
      <w:pPr>
        <w:pStyle w:val="2"/>
      </w:pPr>
      <w:bookmarkStart w:id="34" w:name="_Toc16494752"/>
      <w:r>
        <w:rPr>
          <w:rFonts w:hint="eastAsia"/>
        </w:rPr>
        <w:t>指标概览</w:t>
      </w:r>
      <w:bookmarkEnd w:id="34"/>
    </w:p>
    <w:p>
      <w:pPr>
        <w:pStyle w:val="4"/>
      </w:pPr>
      <w:bookmarkStart w:id="35" w:name="_Toc16494753"/>
      <w:r>
        <w:rPr>
          <w:rFonts w:hint="eastAsia"/>
        </w:rPr>
        <w:t>建筑列表</w:t>
      </w:r>
      <w:bookmarkEnd w:id="35"/>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基底面积(㎡)</w:t>
            </w:r>
          </w:p>
        </w:tc>
        <w:tc>
          <w:tcPr>
            <w:shd w:val="clear" w:color="auto" w:fill="E6E6E6"/>
            <w:vAlign w:val="center"/>
          </w:tcPr>
          <w:p>
            <w:pPr>
              <w:jc w:val="center"/>
            </w:pPr>
            <w:r>
              <w:t>建筑高度(m)</w:t>
            </w:r>
          </w:p>
        </w:tc>
        <w:tc>
          <w:tcPr>
            <w:shd w:val="clear" w:color="auto" w:fill="E6E6E6"/>
            <w:vAlign w:val="center"/>
          </w:tcPr>
          <w:p>
            <w:pPr>
              <w:jc w:val="center"/>
            </w:pPr>
            <w:r>
              <w:t>屋顶绿化</w:t>
            </w:r>
            <w:r>
              <w:br w:type="textWrapping"/>
            </w:r>
            <w:r>
              <w:t>面积(㎡)</w:t>
            </w:r>
          </w:p>
        </w:tc>
        <w:tc>
          <w:tcPr>
            <w:shd w:val="clear" w:color="auto" w:fill="E6E6E6"/>
            <w:vAlign w:val="center"/>
          </w:tcPr>
          <w:p>
            <w:pPr>
              <w:jc w:val="center"/>
            </w:pPr>
            <w:r>
              <w:t>迎风面积比</w:t>
            </w:r>
          </w:p>
        </w:tc>
        <w:tc>
          <w:tcPr>
            <w:shd w:val="clear" w:color="auto" w:fill="E6E6E6"/>
            <w:vAlign w:val="center"/>
          </w:tcPr>
          <w:p>
            <w:pPr>
              <w:jc w:val="center"/>
            </w:pPr>
            <w:r>
              <w:t>通风架空率(%)</w:t>
            </w:r>
          </w:p>
        </w:tc>
      </w:tr>
    </w:tbl>
    <w:p>
      <w:pPr>
        <w:pStyle w:val="3"/>
        <w:ind w:firstLine="420"/>
        <w:rPr>
          <w:lang w:val="en-US"/>
        </w:rPr>
      </w:pPr>
      <w:bookmarkStart w:id="36" w:name="建筑列表"/>
      <w:bookmarkEnd w:id="36"/>
    </w:p>
    <w:p>
      <w:pPr>
        <w:pStyle w:val="4"/>
      </w:pPr>
      <w:bookmarkStart w:id="37" w:name="_Toc16494754"/>
      <w:r>
        <w:rPr>
          <w:rFonts w:hint="eastAsia"/>
        </w:rPr>
        <w:t>住区指标</w:t>
      </w:r>
      <w:bookmarkEnd w:id="37"/>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指标</w:t>
            </w:r>
          </w:p>
        </w:tc>
        <w:tc>
          <w:tcPr>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地块面积(㎡)</w:t>
            </w:r>
          </w:p>
        </w:tc>
        <w:tc>
          <w:tcPr>
            <w:vAlign w:val="center"/>
          </w:tcPr>
          <w:p>
            <w:r>
              <w:t>6156.86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建筑密度</w:t>
            </w:r>
          </w:p>
        </w:tc>
        <w:tc>
          <w:tcPr>
            <w:vAlign w:val="center"/>
          </w:tcPr>
          <w:p>
            <w:r>
              <w:t>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室外面积(㎡)</w:t>
            </w:r>
          </w:p>
        </w:tc>
        <w:tc>
          <w:tcPr>
            <w:vAlign w:val="center"/>
          </w:tcPr>
          <w:p>
            <w:r>
              <w:t>4091.47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广场面积(㎡)</w:t>
            </w:r>
          </w:p>
        </w:tc>
        <w:tc>
          <w:tcPr>
            <w:vAlign w:val="center"/>
          </w:tcPr>
          <w:p>
            <w:r>
              <w:t>1415.38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道路面积(㎡)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绿地面积(㎡)</w:t>
            </w:r>
          </w:p>
        </w:tc>
        <w:tc>
          <w:tcPr>
            <w:vAlign w:val="center"/>
          </w:tcPr>
          <w:p>
            <w:r>
              <w:t>98.13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水面面积(㎡)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绿化屋面面积(㎡)</w:t>
            </w:r>
          </w:p>
        </w:tc>
        <w:tc>
          <w:tcPr>
            <w:vAlign w:val="center"/>
          </w:tcPr>
          <w:p>
            <w:r>
              <w:t>1855.19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乔木爬藤面积(㎡)</w:t>
            </w:r>
          </w:p>
        </w:tc>
        <w:tc>
          <w:tcPr>
            <w:vAlign w:val="center"/>
          </w:tcPr>
          <w:p>
            <w:r>
              <w:t>1553.17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亭廊面积(㎡)</w:t>
            </w:r>
          </w:p>
        </w:tc>
        <w:tc>
          <w:tcPr>
            <w:vAlign w:val="center"/>
          </w:tcPr>
          <w:p>
            <w:r>
              <w:t>170.67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渗透型硬地面积(㎡)</w:t>
            </w:r>
          </w:p>
        </w:tc>
        <w:tc>
          <w:tcPr>
            <w:vAlign w:val="center"/>
          </w:tcPr>
          <w:p>
            <w:r>
              <w:t>1415.38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地表平均太阳辐射吸收系数</w:t>
            </w:r>
          </w:p>
        </w:tc>
        <w:tc>
          <w:tcPr>
            <w:vAlign w:val="center"/>
          </w:tcPr>
          <w:p>
            <w:r>
              <w:t>0.74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地面粗糙系数</w:t>
            </w:r>
          </w:p>
        </w:tc>
        <w:tc>
          <w:tcPr>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平均迎风面积比</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CTTC居住区热时间常数(h)</w:t>
            </w:r>
          </w:p>
        </w:tc>
        <w:tc>
          <w:tcPr>
            <w:vAlign w:val="center"/>
          </w:tcPr>
          <w:p>
            <w:r>
              <w:t>8.89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绿化遮阳覆盖率(%)</w:t>
            </w:r>
          </w:p>
        </w:tc>
        <w:tc>
          <w:tcPr>
            <w:vAlign w:val="center"/>
          </w:tcPr>
          <w:p>
            <w:r>
              <w:t>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构筑物遮阳覆盖率(%)</w:t>
            </w:r>
          </w:p>
        </w:tc>
        <w:tc>
          <w:tcPr>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平均天空角系数</w:t>
            </w:r>
          </w:p>
        </w:tc>
        <w:tc>
          <w:tcPr>
            <w:vAlign w:val="center"/>
          </w:tcPr>
          <w:p>
            <w:r>
              <w:t>0.83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通风架空率(%)</w:t>
            </w:r>
          </w:p>
        </w:tc>
        <w:tc>
          <w:tcPr>
            <w:vAlign w:val="center"/>
          </w:tcPr>
          <w:p>
            <w:r>
              <w:t>0</w:t>
            </w:r>
          </w:p>
        </w:tc>
      </w:tr>
    </w:tbl>
    <w:p>
      <w:pPr>
        <w:pStyle w:val="3"/>
        <w:ind w:firstLine="420"/>
        <w:rPr>
          <w:lang w:val="en-US"/>
        </w:rPr>
      </w:pPr>
      <w:bookmarkStart w:id="38" w:name="住区指标概览"/>
      <w:bookmarkEnd w:id="38"/>
    </w:p>
    <w:p>
      <w:pPr>
        <w:pStyle w:val="2"/>
      </w:pPr>
      <w:bookmarkStart w:id="39" w:name="_Toc16494776"/>
      <w:r>
        <w:rPr>
          <w:rFonts w:hint="eastAsia"/>
        </w:rPr>
        <w:t>强</w:t>
      </w:r>
      <w:bookmarkEnd w:id="39"/>
      <w:r>
        <w:rPr>
          <w:rFonts w:hint="eastAsia"/>
        </w:rPr>
        <w:t>条</w:t>
      </w:r>
      <w:r>
        <w:t>检查</w:t>
      </w:r>
    </w:p>
    <w:p>
      <w:pPr>
        <w:pStyle w:val="4"/>
      </w:pPr>
      <w:bookmarkStart w:id="40" w:name="_Toc16494777"/>
      <w:r>
        <w:rPr>
          <w:rFonts w:hint="eastAsia"/>
        </w:rPr>
        <w:t>平均迎风面积比</w:t>
      </w:r>
      <w:bookmarkEnd w:id="40"/>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迎风面积(㎡)</w:t>
            </w:r>
          </w:p>
        </w:tc>
        <w:tc>
          <w:tcPr>
            <w:shd w:val="clear" w:color="auto" w:fill="E6E6E6"/>
            <w:vAlign w:val="center"/>
          </w:tcPr>
          <w:p>
            <w:pPr>
              <w:jc w:val="center"/>
            </w:pPr>
            <w:r>
              <w:t>最大可能</w:t>
            </w:r>
            <w:r>
              <w:br w:type="textWrapping"/>
            </w:r>
            <w:r>
              <w:t>迎风面积(㎡)</w:t>
            </w:r>
          </w:p>
        </w:tc>
        <w:tc>
          <w:tcPr>
            <w:shd w:val="clear" w:color="auto" w:fill="E6E6E6"/>
            <w:vAlign w:val="center"/>
          </w:tcPr>
          <w:p>
            <w:pPr>
              <w:jc w:val="center"/>
            </w:pPr>
            <w:r>
              <w:t>最大可能</w:t>
            </w:r>
            <w:r>
              <w:br w:type="textWrapping"/>
            </w:r>
            <w:r>
              <w:t>迎风方向(°)</w:t>
            </w:r>
          </w:p>
        </w:tc>
        <w:tc>
          <w:tcPr>
            <w:shd w:val="clear" w:color="auto" w:fill="E6E6E6"/>
            <w:vAlign w:val="center"/>
          </w:tcPr>
          <w:p>
            <w:pPr>
              <w:jc w:val="center"/>
            </w:pPr>
            <w:r>
              <w:t>迎风面积比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平均迎风面积比</w:t>
            </w:r>
          </w:p>
        </w:tc>
        <w:tc>
          <w:tcPr>
            <w:gridSpan w:val="4"/>
            <w:vAlign w:val="center"/>
          </w:tcPr>
          <w:p>
            <w:r>
              <w:rPr>
                <w:b/>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4"/>
            <w:vAlign w:val="center"/>
          </w:tcPr>
          <w:p>
            <w:r>
              <w:rPr>
                <w:b/>
              </w:rPr>
              <w:t>《城市居住区热环境设计标准》4.1.1条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rPr>
                <w:b/>
              </w:rPr>
              <w:t>平均迎风面积比≤0.80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rPr>
                <w:b/>
              </w:rPr>
              <w:t>满足</w:t>
            </w:r>
          </w:p>
        </w:tc>
      </w:tr>
    </w:tbl>
    <w:p>
      <w:pPr>
        <w:pStyle w:val="3"/>
        <w:ind w:firstLine="420"/>
        <w:rPr>
          <w:lang w:val="en-US"/>
        </w:rPr>
      </w:pPr>
      <w:bookmarkStart w:id="41" w:name="平均迎风面积比"/>
      <w:bookmarkEnd w:id="41"/>
    </w:p>
    <w:p>
      <w:pPr>
        <w:pStyle w:val="4"/>
      </w:pPr>
      <w:bookmarkStart w:id="42" w:name="_Toc16494778"/>
      <w:r>
        <w:rPr>
          <w:rFonts w:hint="eastAsia"/>
        </w:rPr>
        <w:t>活动场地遮阳覆盖率</w:t>
      </w:r>
      <w:bookmarkEnd w:id="42"/>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场地</w:t>
            </w:r>
          </w:p>
        </w:tc>
        <w:tc>
          <w:tcPr>
            <w:shd w:val="clear" w:color="auto" w:fill="E6E6E6"/>
            <w:vAlign w:val="center"/>
          </w:tcPr>
          <w:p>
            <w:pPr>
              <w:jc w:val="center"/>
            </w:pPr>
            <w:r>
              <w:t>遮阳面积(㎡)</w:t>
            </w:r>
          </w:p>
        </w:tc>
        <w:tc>
          <w:tcPr>
            <w:shd w:val="clear" w:color="auto" w:fill="E6E6E6"/>
            <w:vAlign w:val="center"/>
          </w:tcPr>
          <w:p>
            <w:pPr>
              <w:jc w:val="center"/>
            </w:pPr>
            <w:r>
              <w:t>场地面积(㎡)</w:t>
            </w:r>
          </w:p>
        </w:tc>
        <w:tc>
          <w:tcPr>
            <w:shd w:val="clear" w:color="auto" w:fill="E6E6E6"/>
            <w:vAlign w:val="center"/>
          </w:tcPr>
          <w:p>
            <w:pPr>
              <w:jc w:val="center"/>
            </w:pPr>
            <w:r>
              <w:t>遮阳覆盖率(%)</w:t>
            </w:r>
          </w:p>
        </w:tc>
        <w:tc>
          <w:tcPr>
            <w:shd w:val="clear" w:color="auto" w:fill="E6E6E6"/>
            <w:vAlign w:val="center"/>
          </w:tcPr>
          <w:p>
            <w:pPr>
              <w:jc w:val="center"/>
            </w:pPr>
            <w:r>
              <w:t>覆盖率限值(%)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w:t>
            </w:r>
          </w:p>
        </w:tc>
        <w:tc>
          <w:tcPr>
            <w:vAlign w:val="center"/>
          </w:tcPr>
          <w:p>
            <w:r>
              <w:t>371.8</w:t>
            </w:r>
          </w:p>
        </w:tc>
        <w:tc>
          <w:tcPr>
            <w:vAlign w:val="center"/>
          </w:tcPr>
          <w:p>
            <w:r>
              <w:t>1415.4</w:t>
            </w:r>
          </w:p>
        </w:tc>
        <w:tc>
          <w:tcPr>
            <w:vAlign w:val="center"/>
          </w:tcPr>
          <w:p>
            <w:r>
              <w:t>26</w:t>
            </w:r>
          </w:p>
        </w:tc>
        <w:tc>
          <w:tcPr>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4"/>
            <w:vAlign w:val="center"/>
          </w:tcPr>
          <w:p>
            <w:r>
              <w:rPr>
                <w:b/>
              </w:rPr>
              <w:t>《城市居住区热环境设计标准》4.2.1条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rPr>
                <w:b/>
              </w:rPr>
              <w:t>各类活动场地遮阳覆盖率不得低于标准要求限值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rPr>
                <w:b/>
              </w:rPr>
              <w:t>满足</w:t>
            </w:r>
          </w:p>
        </w:tc>
      </w:tr>
    </w:tbl>
    <w:p>
      <w:pPr>
        <w:pStyle w:val="3"/>
        <w:ind w:firstLine="420"/>
        <w:rPr>
          <w:lang w:val="en-US"/>
        </w:rPr>
      </w:pPr>
      <w:bookmarkStart w:id="43" w:name="活动场地遮阳覆盖率"/>
      <w:bookmarkEnd w:id="43"/>
    </w:p>
    <w:p>
      <w:pPr>
        <w:pStyle w:val="3"/>
        <w:ind w:firstLine="420"/>
        <w:rPr>
          <w:lang w:val="en-US"/>
        </w:rPr>
      </w:pPr>
    </w:p>
    <w:p>
      <w:pPr>
        <w:pStyle w:val="2"/>
      </w:pPr>
      <w:bookmarkStart w:id="44" w:name="_Toc16494783"/>
      <w:r>
        <w:rPr>
          <w:rFonts w:hint="eastAsia"/>
        </w:rPr>
        <w:t>评价性设计</w:t>
      </w:r>
      <w:bookmarkEnd w:id="44"/>
    </w:p>
    <w:p>
      <w:pPr>
        <w:pStyle w:val="4"/>
      </w:pPr>
      <w:bookmarkStart w:id="45" w:name="_Toc16494784"/>
      <w:r>
        <w:rPr>
          <w:rFonts w:hint="eastAsia"/>
        </w:rPr>
        <w:t>平均热岛强度</w:t>
      </w:r>
      <w:bookmarkEnd w:id="45"/>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平均温</w:t>
            </w:r>
            <w:r>
              <w:br w:type="textWrapping"/>
            </w:r>
            <w:r>
              <w:t>度(℃)</w:t>
            </w:r>
          </w:p>
        </w:tc>
        <w:tc>
          <w:tcPr>
            <w:shd w:val="clear" w:color="auto" w:fill="E6E6E6"/>
            <w:vAlign w:val="center"/>
          </w:tcPr>
          <w:p>
            <w:pPr>
              <w:jc w:val="center"/>
            </w:pPr>
            <w:r>
              <w:t>太阳辐</w:t>
            </w:r>
            <w:r>
              <w:br w:type="textWrapping"/>
            </w:r>
            <w:r>
              <w:t>射升温</w:t>
            </w:r>
            <w:r>
              <w:br w:type="textWrapping"/>
            </w:r>
            <w:r>
              <w:t>(℃)</w:t>
            </w:r>
          </w:p>
        </w:tc>
        <w:tc>
          <w:tcPr>
            <w:shd w:val="clear" w:color="auto" w:fill="E6E6E6"/>
            <w:vAlign w:val="center"/>
          </w:tcPr>
          <w:p>
            <w:pPr>
              <w:jc w:val="center"/>
            </w:pPr>
            <w:r>
              <w:t>长波辐</w:t>
            </w:r>
            <w:r>
              <w:br w:type="textWrapping"/>
            </w:r>
            <w:r>
              <w:t>射降温</w:t>
            </w:r>
            <w:r>
              <w:br w:type="textWrapping"/>
            </w:r>
            <w:r>
              <w:t>(℃)</w:t>
            </w:r>
          </w:p>
        </w:tc>
        <w:tc>
          <w:tcPr>
            <w:shd w:val="clear" w:color="auto" w:fill="E6E6E6"/>
            <w:vAlign w:val="center"/>
          </w:tcPr>
          <w:p>
            <w:pPr>
              <w:jc w:val="center"/>
            </w:pPr>
            <w:r>
              <w:t>蒸发换</w:t>
            </w:r>
            <w:r>
              <w:br w:type="textWrapping"/>
            </w:r>
            <w:r>
              <w:t>热降温</w:t>
            </w:r>
            <w:r>
              <w:br w:type="textWrapping"/>
            </w:r>
            <w:r>
              <w:t>(℃)</w:t>
            </w:r>
          </w:p>
        </w:tc>
        <w:tc>
          <w:tcPr>
            <w:shd w:val="clear" w:color="auto" w:fill="E6E6E6"/>
            <w:vAlign w:val="center"/>
          </w:tcPr>
          <w:p>
            <w:pPr>
              <w:jc w:val="center"/>
            </w:pPr>
            <w:r>
              <w:t>居住区</w:t>
            </w:r>
            <w:r>
              <w:br w:type="textWrapping"/>
            </w:r>
            <w:r>
              <w:t>温度</w:t>
            </w:r>
            <w:r>
              <w:br w:type="textWrapping"/>
            </w:r>
            <w:r>
              <w:t>(℃)</w:t>
            </w:r>
          </w:p>
        </w:tc>
        <w:tc>
          <w:tcPr>
            <w:shd w:val="clear" w:color="auto" w:fill="E6E6E6"/>
            <w:vAlign w:val="center"/>
          </w:tcPr>
          <w:p>
            <w:pPr>
              <w:jc w:val="center"/>
            </w:pPr>
            <w:r>
              <w:t>典型气象</w:t>
            </w:r>
            <w:r>
              <w:br w:type="textWrapping"/>
            </w:r>
            <w:r>
              <w:t>温度(℃)</w:t>
            </w:r>
          </w:p>
        </w:tc>
        <w:tc>
          <w:tcPr>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9:00</w:t>
            </w:r>
          </w:p>
        </w:tc>
        <w:tc>
          <w:tcPr>
            <w:vAlign w:val="center"/>
          </w:tcPr>
          <w:p>
            <w:r>
              <w:t>28.1</w:t>
            </w:r>
          </w:p>
        </w:tc>
        <w:tc>
          <w:tcPr>
            <w:vAlign w:val="center"/>
          </w:tcPr>
          <w:p>
            <w:r>
              <w:t>3.9</w:t>
            </w:r>
          </w:p>
        </w:tc>
        <w:tc>
          <w:tcPr>
            <w:vAlign w:val="center"/>
          </w:tcPr>
          <w:p>
            <w:r>
              <w:t>2.9</w:t>
            </w:r>
          </w:p>
        </w:tc>
        <w:tc>
          <w:tcPr>
            <w:vAlign w:val="center"/>
          </w:tcPr>
          <w:p>
            <w:r>
              <w:t>0.8</w:t>
            </w:r>
          </w:p>
        </w:tc>
        <w:tc>
          <w:tcPr>
            <w:vAlign w:val="center"/>
          </w:tcPr>
          <w:p>
            <w:r>
              <w:t>28.3</w:t>
            </w:r>
          </w:p>
        </w:tc>
        <w:tc>
          <w:tcPr>
            <w:vAlign w:val="center"/>
          </w:tcPr>
          <w:p>
            <w:r>
              <w:t>28.3</w:t>
            </w:r>
          </w:p>
        </w:tc>
        <w:tc>
          <w:tcPr>
            <w:vAlign w:val="center"/>
          </w:tcPr>
          <w:p>
            <w:r>
              <w:t>-0.024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10:00</w:t>
            </w:r>
          </w:p>
        </w:tc>
        <w:tc>
          <w:tcPr>
            <w:vAlign w:val="center"/>
          </w:tcPr>
          <w:p>
            <w:r>
              <w:t>28.1</w:t>
            </w:r>
          </w:p>
        </w:tc>
        <w:tc>
          <w:tcPr>
            <w:vAlign w:val="center"/>
          </w:tcPr>
          <w:p>
            <w:r>
              <w:t>5.7</w:t>
            </w:r>
          </w:p>
        </w:tc>
        <w:tc>
          <w:tcPr>
            <w:vAlign w:val="center"/>
          </w:tcPr>
          <w:p>
            <w:r>
              <w:t>2.9</w:t>
            </w:r>
          </w:p>
        </w:tc>
        <w:tc>
          <w:tcPr>
            <w:vAlign w:val="center"/>
          </w:tcPr>
          <w:p>
            <w:r>
              <w:t>0.8</w:t>
            </w:r>
          </w:p>
        </w:tc>
        <w:tc>
          <w:tcPr>
            <w:vAlign w:val="center"/>
          </w:tcPr>
          <w:p>
            <w:r>
              <w:t>30.0</w:t>
            </w:r>
          </w:p>
        </w:tc>
        <w:tc>
          <w:tcPr>
            <w:vAlign w:val="center"/>
          </w:tcPr>
          <w:p>
            <w:r>
              <w:t>29.2</w:t>
            </w:r>
          </w:p>
        </w:tc>
        <w:tc>
          <w:tcPr>
            <w:vAlign w:val="center"/>
          </w:tcPr>
          <w:p>
            <w:r>
              <w:t>0.807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11:00</w:t>
            </w:r>
          </w:p>
        </w:tc>
        <w:tc>
          <w:tcPr>
            <w:vAlign w:val="center"/>
          </w:tcPr>
          <w:p>
            <w:r>
              <w:t>28.1</w:t>
            </w:r>
          </w:p>
        </w:tc>
        <w:tc>
          <w:tcPr>
            <w:vAlign w:val="center"/>
          </w:tcPr>
          <w:p>
            <w:r>
              <w:t>7.6</w:t>
            </w:r>
          </w:p>
        </w:tc>
        <w:tc>
          <w:tcPr>
            <w:vAlign w:val="center"/>
          </w:tcPr>
          <w:p>
            <w:r>
              <w:t>2.9</w:t>
            </w:r>
          </w:p>
        </w:tc>
        <w:tc>
          <w:tcPr>
            <w:vAlign w:val="center"/>
          </w:tcPr>
          <w:p>
            <w:r>
              <w:t>0.8</w:t>
            </w:r>
          </w:p>
        </w:tc>
        <w:tc>
          <w:tcPr>
            <w:vAlign w:val="center"/>
          </w:tcPr>
          <w:p>
            <w:r>
              <w:t>31.9</w:t>
            </w:r>
          </w:p>
        </w:tc>
        <w:tc>
          <w:tcPr>
            <w:vAlign w:val="center"/>
          </w:tcPr>
          <w:p>
            <w:r>
              <w:t>30.1</w:t>
            </w:r>
          </w:p>
        </w:tc>
        <w:tc>
          <w:tcPr>
            <w:vAlign w:val="center"/>
          </w:tcPr>
          <w:p>
            <w:r>
              <w:t>1.776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vAlign w:val="center"/>
          </w:tcPr>
          <w:p>
            <w:r>
              <w:t>28.1</w:t>
            </w:r>
          </w:p>
        </w:tc>
        <w:tc>
          <w:tcPr>
            <w:vAlign w:val="center"/>
          </w:tcPr>
          <w:p>
            <w:r>
              <w:t>9.3</w:t>
            </w:r>
          </w:p>
        </w:tc>
        <w:tc>
          <w:tcPr>
            <w:vAlign w:val="center"/>
          </w:tcPr>
          <w:p>
            <w:r>
              <w:t>2.7</w:t>
            </w:r>
          </w:p>
        </w:tc>
        <w:tc>
          <w:tcPr>
            <w:vAlign w:val="center"/>
          </w:tcPr>
          <w:p>
            <w:r>
              <w:t>0.8</w:t>
            </w:r>
          </w:p>
        </w:tc>
        <w:tc>
          <w:tcPr>
            <w:vAlign w:val="center"/>
          </w:tcPr>
          <w:p>
            <w:r>
              <w:t>33.9</w:t>
            </w:r>
          </w:p>
        </w:tc>
        <w:tc>
          <w:tcPr>
            <w:vAlign w:val="center"/>
          </w:tcPr>
          <w:p>
            <w:r>
              <w:t>30.8</w:t>
            </w:r>
          </w:p>
        </w:tc>
        <w:tc>
          <w:tcPr>
            <w:vAlign w:val="center"/>
          </w:tcPr>
          <w:p>
            <w:r>
              <w:t>3.122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vAlign w:val="center"/>
          </w:tcPr>
          <w:p>
            <w:r>
              <w:t>28.1</w:t>
            </w:r>
          </w:p>
        </w:tc>
        <w:tc>
          <w:tcPr>
            <w:vAlign w:val="center"/>
          </w:tcPr>
          <w:p>
            <w:r>
              <w:t>10.7</w:t>
            </w:r>
          </w:p>
        </w:tc>
        <w:tc>
          <w:tcPr>
            <w:vAlign w:val="center"/>
          </w:tcPr>
          <w:p>
            <w:r>
              <w:t>2.7</w:t>
            </w:r>
          </w:p>
        </w:tc>
        <w:tc>
          <w:tcPr>
            <w:vAlign w:val="center"/>
          </w:tcPr>
          <w:p>
            <w:r>
              <w:t>0.7</w:t>
            </w:r>
          </w:p>
        </w:tc>
        <w:tc>
          <w:tcPr>
            <w:vAlign w:val="center"/>
          </w:tcPr>
          <w:p>
            <w:r>
              <w:t>35.4</w:t>
            </w:r>
          </w:p>
        </w:tc>
        <w:tc>
          <w:tcPr>
            <w:vAlign w:val="center"/>
          </w:tcPr>
          <w:p>
            <w:r>
              <w:t>31.1</w:t>
            </w:r>
          </w:p>
        </w:tc>
        <w:tc>
          <w:tcPr>
            <w:vAlign w:val="center"/>
          </w:tcPr>
          <w:p>
            <w:r>
              <w:t>4.298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14:00</w:t>
            </w:r>
          </w:p>
        </w:tc>
        <w:tc>
          <w:tcPr>
            <w:vAlign w:val="center"/>
          </w:tcPr>
          <w:p>
            <w:r>
              <w:t>28.1</w:t>
            </w:r>
          </w:p>
        </w:tc>
        <w:tc>
          <w:tcPr>
            <w:vAlign w:val="center"/>
          </w:tcPr>
          <w:p>
            <w:r>
              <w:t>11.7</w:t>
            </w:r>
          </w:p>
        </w:tc>
        <w:tc>
          <w:tcPr>
            <w:vAlign w:val="center"/>
          </w:tcPr>
          <w:p>
            <w:r>
              <w:t>2.7</w:t>
            </w:r>
          </w:p>
        </w:tc>
        <w:tc>
          <w:tcPr>
            <w:vAlign w:val="center"/>
          </w:tcPr>
          <w:p>
            <w:r>
              <w:t>0.5</w:t>
            </w:r>
          </w:p>
        </w:tc>
        <w:tc>
          <w:tcPr>
            <w:vAlign w:val="center"/>
          </w:tcPr>
          <w:p>
            <w:r>
              <w:t>36.5</w:t>
            </w:r>
          </w:p>
        </w:tc>
        <w:tc>
          <w:tcPr>
            <w:vAlign w:val="center"/>
          </w:tcPr>
          <w:p>
            <w:r>
              <w:t>31.0</w:t>
            </w:r>
          </w:p>
        </w:tc>
        <w:tc>
          <w:tcPr>
            <w:vAlign w:val="center"/>
          </w:tcPr>
          <w:p>
            <w:r>
              <w:t>5.512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vAlign w:val="center"/>
          </w:tcPr>
          <w:p>
            <w:r>
              <w:t>28.1</w:t>
            </w:r>
          </w:p>
        </w:tc>
        <w:tc>
          <w:tcPr>
            <w:vAlign w:val="center"/>
          </w:tcPr>
          <w:p>
            <w:r>
              <w:t>12.2</w:t>
            </w:r>
          </w:p>
        </w:tc>
        <w:tc>
          <w:tcPr>
            <w:vAlign w:val="center"/>
          </w:tcPr>
          <w:p>
            <w:r>
              <w:t>2.7</w:t>
            </w:r>
          </w:p>
        </w:tc>
        <w:tc>
          <w:tcPr>
            <w:vAlign w:val="center"/>
          </w:tcPr>
          <w:p>
            <w:r>
              <w:t>0.4</w:t>
            </w:r>
          </w:p>
        </w:tc>
        <w:tc>
          <w:tcPr>
            <w:vAlign w:val="center"/>
          </w:tcPr>
          <w:p>
            <w:r>
              <w:t>37.1</w:t>
            </w:r>
          </w:p>
        </w:tc>
        <w:tc>
          <w:tcPr>
            <w:vAlign w:val="center"/>
          </w:tcPr>
          <w:p>
            <w:r>
              <w:t>30.7</w:t>
            </w:r>
          </w:p>
        </w:tc>
        <w:tc>
          <w:tcPr>
            <w:vAlign w:val="center"/>
          </w:tcPr>
          <w:p>
            <w:r>
              <w:t>6.423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vAlign w:val="center"/>
          </w:tcPr>
          <w:p>
            <w:r>
              <w:t>28.1</w:t>
            </w:r>
          </w:p>
        </w:tc>
        <w:tc>
          <w:tcPr>
            <w:vAlign w:val="center"/>
          </w:tcPr>
          <w:p>
            <w:r>
              <w:t>12.2</w:t>
            </w:r>
          </w:p>
        </w:tc>
        <w:tc>
          <w:tcPr>
            <w:vAlign w:val="center"/>
          </w:tcPr>
          <w:p>
            <w:r>
              <w:t>2.7</w:t>
            </w:r>
          </w:p>
        </w:tc>
        <w:tc>
          <w:tcPr>
            <w:vAlign w:val="center"/>
          </w:tcPr>
          <w:p>
            <w:r>
              <w:t>0.3</w:t>
            </w:r>
          </w:p>
        </w:tc>
        <w:tc>
          <w:tcPr>
            <w:vAlign w:val="center"/>
          </w:tcPr>
          <w:p>
            <w:r>
              <w:t>37.2</w:t>
            </w:r>
          </w:p>
        </w:tc>
        <w:tc>
          <w:tcPr>
            <w:vAlign w:val="center"/>
          </w:tcPr>
          <w:p>
            <w:r>
              <w:t>30.1</w:t>
            </w:r>
          </w:p>
        </w:tc>
        <w:tc>
          <w:tcPr>
            <w:vAlign w:val="center"/>
          </w:tcPr>
          <w:p>
            <w:r>
              <w:t>7.132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vAlign w:val="center"/>
          </w:tcPr>
          <w:p>
            <w:r>
              <w:t>28.1</w:t>
            </w:r>
          </w:p>
        </w:tc>
        <w:tc>
          <w:tcPr>
            <w:vAlign w:val="center"/>
          </w:tcPr>
          <w:p>
            <w:r>
              <w:t>11.7</w:t>
            </w:r>
          </w:p>
        </w:tc>
        <w:tc>
          <w:tcPr>
            <w:vAlign w:val="center"/>
          </w:tcPr>
          <w:p>
            <w:r>
              <w:t>2.6</w:t>
            </w:r>
          </w:p>
        </w:tc>
        <w:tc>
          <w:tcPr>
            <w:vAlign w:val="center"/>
          </w:tcPr>
          <w:p>
            <w:r>
              <w:t>0.2</w:t>
            </w:r>
          </w:p>
        </w:tc>
        <w:tc>
          <w:tcPr>
            <w:vAlign w:val="center"/>
          </w:tcPr>
          <w:p>
            <w:r>
              <w:t>37.0</w:t>
            </w:r>
          </w:p>
        </w:tc>
        <w:tc>
          <w:tcPr>
            <w:vAlign w:val="center"/>
          </w:tcPr>
          <w:p>
            <w:r>
              <w:t>29.4</w:t>
            </w:r>
          </w:p>
        </w:tc>
        <w:tc>
          <w:tcPr>
            <w:vAlign w:val="center"/>
          </w:tcPr>
          <w:p>
            <w:r>
              <w:t>7.570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18:00</w:t>
            </w:r>
          </w:p>
        </w:tc>
        <w:tc>
          <w:tcPr>
            <w:vAlign w:val="center"/>
          </w:tcPr>
          <w:p>
            <w:r>
              <w:t>28.1</w:t>
            </w:r>
          </w:p>
        </w:tc>
        <w:tc>
          <w:tcPr>
            <w:vAlign w:val="center"/>
          </w:tcPr>
          <w:p>
            <w:r>
              <w:t>11.0</w:t>
            </w:r>
          </w:p>
        </w:tc>
        <w:tc>
          <w:tcPr>
            <w:vAlign w:val="center"/>
          </w:tcPr>
          <w:p>
            <w:r>
              <w:t>2.6</w:t>
            </w:r>
          </w:p>
        </w:tc>
        <w:tc>
          <w:tcPr>
            <w:vAlign w:val="center"/>
          </w:tcPr>
          <w:p>
            <w:r>
              <w:t>0.2</w:t>
            </w:r>
          </w:p>
        </w:tc>
        <w:tc>
          <w:tcPr>
            <w:vAlign w:val="center"/>
          </w:tcPr>
          <w:p>
            <w:r>
              <w:t>36.4</w:t>
            </w:r>
          </w:p>
        </w:tc>
        <w:tc>
          <w:tcPr>
            <w:vAlign w:val="center"/>
          </w:tcPr>
          <w:p>
            <w:r>
              <w:t>28.7</w:t>
            </w:r>
          </w:p>
        </w:tc>
        <w:tc>
          <w:tcPr>
            <w:vAlign w:val="center"/>
          </w:tcPr>
          <w:p>
            <w:r>
              <w:t>7.662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19:00</w:t>
            </w:r>
          </w:p>
        </w:tc>
        <w:tc>
          <w:tcPr>
            <w:vAlign w:val="center"/>
          </w:tcPr>
          <w:p>
            <w:r>
              <w:t>28.1</w:t>
            </w:r>
          </w:p>
        </w:tc>
        <w:tc>
          <w:tcPr>
            <w:vAlign w:val="center"/>
          </w:tcPr>
          <w:p>
            <w:r>
              <w:t>10.3</w:t>
            </w:r>
          </w:p>
        </w:tc>
        <w:tc>
          <w:tcPr>
            <w:vAlign w:val="center"/>
          </w:tcPr>
          <w:p>
            <w:r>
              <w:t>2.5</w:t>
            </w:r>
          </w:p>
        </w:tc>
        <w:tc>
          <w:tcPr>
            <w:vAlign w:val="center"/>
          </w:tcPr>
          <w:p>
            <w:r>
              <w:t>0.1</w:t>
            </w:r>
          </w:p>
        </w:tc>
        <w:tc>
          <w:tcPr>
            <w:vAlign w:val="center"/>
          </w:tcPr>
          <w:p>
            <w:r>
              <w:t>35.7</w:t>
            </w:r>
          </w:p>
        </w:tc>
        <w:tc>
          <w:tcPr>
            <w:vAlign w:val="center"/>
          </w:tcPr>
          <w:p>
            <w:r>
              <w:t>28.1</w:t>
            </w:r>
          </w:p>
        </w:tc>
        <w:tc>
          <w:tcPr>
            <w:vAlign w:val="center"/>
          </w:tcPr>
          <w:p>
            <w:r>
              <w:t>7.553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平均热岛</w:t>
            </w:r>
            <w:r>
              <w:br w:type="textWrapping"/>
            </w:r>
            <w:r>
              <w:t>强度(℃)</w:t>
            </w:r>
          </w:p>
        </w:tc>
        <w:tc>
          <w:tcPr>
            <w:gridSpan w:val="7"/>
            <w:vAlign w:val="center"/>
          </w:tcPr>
          <w:p>
            <w:pPr>
              <w:rPr>
                <w:rFonts w:hint="default" w:eastAsia="宋体"/>
                <w:lang w:val="en-US" w:eastAsia="zh-CN"/>
              </w:rPr>
            </w:pPr>
            <w:r>
              <w:rPr>
                <w:rFonts w:hint="eastAsia"/>
                <w:lang w:val="en-US" w:eastAsia="zh-CN"/>
              </w:rPr>
              <w:t>0.7</w:t>
            </w:r>
            <w:bookmarkStart w:id="57" w:name="_GoBack"/>
            <w:bookmarkEnd w:id="57"/>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7"/>
            <w:vAlign w:val="center"/>
          </w:tcPr>
          <w:p>
            <w:bookmarkStart w:id="46" w:name="底层通风架空率结论"/>
            <w:r>
              <w:t>满足</w:t>
            </w:r>
            <w:bookmarkEnd w:id="46"/>
          </w:p>
        </w:tc>
      </w:tr>
    </w:tbl>
    <w:p>
      <w:pPr>
        <w:pStyle w:val="3"/>
        <w:ind w:firstLine="420"/>
        <w:rPr>
          <w:lang w:val="en-US"/>
        </w:rPr>
      </w:pPr>
      <w:bookmarkStart w:id="47" w:name="平均热岛强度"/>
      <w:bookmarkEnd w:id="47"/>
    </w:p>
    <w:p>
      <w:pPr>
        <w:pStyle w:val="3"/>
        <w:ind w:firstLine="0" w:firstLineChars="0"/>
        <w:rPr>
          <w:lang w:val="en-US"/>
        </w:rPr>
      </w:pPr>
      <w:bookmarkStart w:id="48" w:name="平均热岛强度图片"/>
      <w:bookmarkEnd w:id="48"/>
    </w:p>
    <w:p>
      <w:pPr>
        <w:pStyle w:val="4"/>
      </w:pPr>
      <w:bookmarkStart w:id="49" w:name="_Toc16494785"/>
      <w:r>
        <w:rPr>
          <w:rFonts w:hint="eastAsia"/>
        </w:rPr>
        <w:t>湿球黑球温度</w:t>
      </w:r>
      <w:bookmarkEnd w:id="49"/>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居住区温度</w:t>
            </w:r>
            <w:r>
              <w:br w:type="textWrapping"/>
            </w:r>
            <w:r>
              <w:t>(℃)</w:t>
            </w:r>
          </w:p>
        </w:tc>
        <w:tc>
          <w:tcPr>
            <w:shd w:val="clear" w:color="auto" w:fill="E6E6E6"/>
            <w:vAlign w:val="center"/>
          </w:tcPr>
          <w:p>
            <w:pPr>
              <w:jc w:val="center"/>
            </w:pPr>
            <w:r>
              <w:t>空气相对湿度</w:t>
            </w:r>
          </w:p>
        </w:tc>
        <w:tc>
          <w:tcPr>
            <w:shd w:val="clear" w:color="auto" w:fill="E6E6E6"/>
            <w:vAlign w:val="center"/>
          </w:tcPr>
          <w:p>
            <w:pPr>
              <w:jc w:val="center"/>
            </w:pPr>
            <w:r>
              <w:t>太阳辐射照度</w:t>
            </w:r>
            <w:r>
              <w:br w:type="textWrapping"/>
            </w:r>
            <w:r>
              <w:t>(W/㎡)</w:t>
            </w:r>
          </w:p>
        </w:tc>
        <w:tc>
          <w:tcPr>
            <w:shd w:val="clear" w:color="auto" w:fill="E6E6E6"/>
            <w:vAlign w:val="center"/>
          </w:tcPr>
          <w:p>
            <w:pPr>
              <w:jc w:val="center"/>
            </w:pPr>
            <w:r>
              <w:t>地表短波辐射</w:t>
            </w:r>
            <w:r>
              <w:br w:type="textWrapping"/>
            </w:r>
            <w:r>
              <w:t>(W/㎡)</w:t>
            </w:r>
          </w:p>
        </w:tc>
        <w:tc>
          <w:tcPr>
            <w:shd w:val="clear" w:color="auto" w:fill="E6E6E6"/>
            <w:vAlign w:val="center"/>
          </w:tcPr>
          <w:p>
            <w:pPr>
              <w:jc w:val="center"/>
            </w:pPr>
            <w:r>
              <w:t>湿球黑球温度</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9:00</w:t>
            </w:r>
          </w:p>
        </w:tc>
        <w:tc>
          <w:tcPr>
            <w:vAlign w:val="center"/>
          </w:tcPr>
          <w:p>
            <w:r>
              <w:t>28.3</w:t>
            </w:r>
          </w:p>
        </w:tc>
        <w:tc>
          <w:tcPr>
            <w:vAlign w:val="center"/>
          </w:tcPr>
          <w:p>
            <w:r>
              <w:t>0.8</w:t>
            </w:r>
          </w:p>
        </w:tc>
        <w:tc>
          <w:tcPr>
            <w:vAlign w:val="center"/>
          </w:tcPr>
          <w:p>
            <w:r>
              <w:t>385.2</w:t>
            </w:r>
          </w:p>
        </w:tc>
        <w:tc>
          <w:tcPr>
            <w:vAlign w:val="center"/>
          </w:tcPr>
          <w:p>
            <w:r>
              <w:t>107.0</w:t>
            </w:r>
          </w:p>
        </w:tc>
        <w:tc>
          <w:tcPr>
            <w:vAlign w:val="center"/>
          </w:tcPr>
          <w:p>
            <w:r>
              <w:t>26.4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10:00</w:t>
            </w:r>
          </w:p>
        </w:tc>
        <w:tc>
          <w:tcPr>
            <w:vAlign w:val="center"/>
          </w:tcPr>
          <w:p>
            <w:r>
              <w:t>30.0</w:t>
            </w:r>
          </w:p>
        </w:tc>
        <w:tc>
          <w:tcPr>
            <w:vAlign w:val="center"/>
          </w:tcPr>
          <w:p>
            <w:r>
              <w:t>0.7</w:t>
            </w:r>
          </w:p>
        </w:tc>
        <w:tc>
          <w:tcPr>
            <w:vAlign w:val="center"/>
          </w:tcPr>
          <w:p>
            <w:r>
              <w:t>473.5</w:t>
            </w:r>
          </w:p>
        </w:tc>
        <w:tc>
          <w:tcPr>
            <w:vAlign w:val="center"/>
          </w:tcPr>
          <w:p>
            <w:r>
              <w:t>131.6</w:t>
            </w:r>
          </w:p>
        </w:tc>
        <w:tc>
          <w:tcPr>
            <w:vAlign w:val="center"/>
          </w:tcPr>
          <w:p>
            <w:r>
              <w:t>27.4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11:00</w:t>
            </w:r>
          </w:p>
        </w:tc>
        <w:tc>
          <w:tcPr>
            <w:vAlign w:val="center"/>
          </w:tcPr>
          <w:p>
            <w:r>
              <w:t>31.9</w:t>
            </w:r>
          </w:p>
        </w:tc>
        <w:tc>
          <w:tcPr>
            <w:vAlign w:val="center"/>
          </w:tcPr>
          <w:p>
            <w:r>
              <w:t>0.6</w:t>
            </w:r>
          </w:p>
        </w:tc>
        <w:tc>
          <w:tcPr>
            <w:vAlign w:val="center"/>
          </w:tcPr>
          <w:p>
            <w:r>
              <w:t>531.7</w:t>
            </w:r>
          </w:p>
        </w:tc>
        <w:tc>
          <w:tcPr>
            <w:vAlign w:val="center"/>
          </w:tcPr>
          <w:p>
            <w:r>
              <w:t>147.7</w:t>
            </w:r>
          </w:p>
        </w:tc>
        <w:tc>
          <w:tcPr>
            <w:vAlign w:val="center"/>
          </w:tcPr>
          <w:p>
            <w:r>
              <w:t>28.7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vAlign w:val="center"/>
          </w:tcPr>
          <w:p>
            <w:r>
              <w:t>33.9</w:t>
            </w:r>
          </w:p>
        </w:tc>
        <w:tc>
          <w:tcPr>
            <w:vAlign w:val="center"/>
          </w:tcPr>
          <w:p>
            <w:r>
              <w:t>0.5</w:t>
            </w:r>
          </w:p>
        </w:tc>
        <w:tc>
          <w:tcPr>
            <w:vAlign w:val="center"/>
          </w:tcPr>
          <w:p>
            <w:r>
              <w:t>549.6</w:t>
            </w:r>
          </w:p>
        </w:tc>
        <w:tc>
          <w:tcPr>
            <w:vAlign w:val="center"/>
          </w:tcPr>
          <w:p>
            <w:r>
              <w:t>152.7</w:t>
            </w:r>
          </w:p>
        </w:tc>
        <w:tc>
          <w:tcPr>
            <w:vAlign w:val="center"/>
          </w:tcPr>
          <w:p>
            <w:r>
              <w:t>29.9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vAlign w:val="center"/>
          </w:tcPr>
          <w:p>
            <w:r>
              <w:t>35.4</w:t>
            </w:r>
          </w:p>
        </w:tc>
        <w:tc>
          <w:tcPr>
            <w:vAlign w:val="center"/>
          </w:tcPr>
          <w:p>
            <w:r>
              <w:t>0.5</w:t>
            </w:r>
          </w:p>
        </w:tc>
        <w:tc>
          <w:tcPr>
            <w:vAlign w:val="center"/>
          </w:tcPr>
          <w:p>
            <w:r>
              <w:t>509.3</w:t>
            </w:r>
          </w:p>
        </w:tc>
        <w:tc>
          <w:tcPr>
            <w:vAlign w:val="center"/>
          </w:tcPr>
          <w:p>
            <w:r>
              <w:t>141.5</w:t>
            </w:r>
          </w:p>
        </w:tc>
        <w:tc>
          <w:tcPr>
            <w:vAlign w:val="center"/>
          </w:tcPr>
          <w:p>
            <w:r>
              <w:t>30.7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14:00</w:t>
            </w:r>
          </w:p>
        </w:tc>
        <w:tc>
          <w:tcPr>
            <w:vAlign w:val="center"/>
          </w:tcPr>
          <w:p>
            <w:r>
              <w:t>36.5</w:t>
            </w:r>
          </w:p>
        </w:tc>
        <w:tc>
          <w:tcPr>
            <w:vAlign w:val="center"/>
          </w:tcPr>
          <w:p>
            <w:r>
              <w:t>0.5</w:t>
            </w:r>
          </w:p>
        </w:tc>
        <w:tc>
          <w:tcPr>
            <w:vAlign w:val="center"/>
          </w:tcPr>
          <w:p>
            <w:r>
              <w:t>434.9</w:t>
            </w:r>
          </w:p>
        </w:tc>
        <w:tc>
          <w:tcPr>
            <w:vAlign w:val="center"/>
          </w:tcPr>
          <w:p>
            <w:r>
              <w:t>120.8</w:t>
            </w:r>
          </w:p>
        </w:tc>
        <w:tc>
          <w:tcPr>
            <w:vAlign w:val="center"/>
          </w:tcPr>
          <w:p>
            <w:r>
              <w:t>31.2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vAlign w:val="center"/>
          </w:tcPr>
          <w:p>
            <w:r>
              <w:t>37.1</w:t>
            </w:r>
          </w:p>
        </w:tc>
        <w:tc>
          <w:tcPr>
            <w:vAlign w:val="center"/>
          </w:tcPr>
          <w:p>
            <w:r>
              <w:t>0.5</w:t>
            </w:r>
          </w:p>
        </w:tc>
        <w:tc>
          <w:tcPr>
            <w:vAlign w:val="center"/>
          </w:tcPr>
          <w:p>
            <w:r>
              <w:t>336.9</w:t>
            </w:r>
          </w:p>
        </w:tc>
        <w:tc>
          <w:tcPr>
            <w:vAlign w:val="center"/>
          </w:tcPr>
          <w:p>
            <w:r>
              <w:t>93.6</w:t>
            </w:r>
          </w:p>
        </w:tc>
        <w:tc>
          <w:tcPr>
            <w:vAlign w:val="center"/>
          </w:tcPr>
          <w:p>
            <w:r>
              <w:t>31.5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vAlign w:val="center"/>
          </w:tcPr>
          <w:p>
            <w:r>
              <w:t>37.2</w:t>
            </w:r>
          </w:p>
        </w:tc>
        <w:tc>
          <w:tcPr>
            <w:vAlign w:val="center"/>
          </w:tcPr>
          <w:p>
            <w:r>
              <w:t>0.5</w:t>
            </w:r>
          </w:p>
        </w:tc>
        <w:tc>
          <w:tcPr>
            <w:vAlign w:val="center"/>
          </w:tcPr>
          <w:p>
            <w:r>
              <w:t>228.0</w:t>
            </w:r>
          </w:p>
        </w:tc>
        <w:tc>
          <w:tcPr>
            <w:vAlign w:val="center"/>
          </w:tcPr>
          <w:p>
            <w:r>
              <w:t>63.3</w:t>
            </w:r>
          </w:p>
        </w:tc>
        <w:tc>
          <w:tcPr>
            <w:vAlign w:val="center"/>
          </w:tcPr>
          <w:p>
            <w:r>
              <w:t>31.2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vAlign w:val="center"/>
          </w:tcPr>
          <w:p>
            <w:r>
              <w:t>37.0</w:t>
            </w:r>
          </w:p>
        </w:tc>
        <w:tc>
          <w:tcPr>
            <w:vAlign w:val="center"/>
          </w:tcPr>
          <w:p>
            <w:r>
              <w:t>0.5</w:t>
            </w:r>
          </w:p>
        </w:tc>
        <w:tc>
          <w:tcPr>
            <w:vAlign w:val="center"/>
          </w:tcPr>
          <w:p>
            <w:r>
              <w:t>120.3</w:t>
            </w:r>
          </w:p>
        </w:tc>
        <w:tc>
          <w:tcPr>
            <w:vAlign w:val="center"/>
          </w:tcPr>
          <w:p>
            <w:r>
              <w:t>33.4</w:t>
            </w:r>
          </w:p>
        </w:tc>
        <w:tc>
          <w:tcPr>
            <w:vAlign w:val="center"/>
          </w:tcPr>
          <w:p>
            <w:r>
              <w:t>30.8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18:00</w:t>
            </w:r>
          </w:p>
        </w:tc>
        <w:tc>
          <w:tcPr>
            <w:vAlign w:val="center"/>
          </w:tcPr>
          <w:p>
            <w:r>
              <w:t>36.4</w:t>
            </w:r>
          </w:p>
        </w:tc>
        <w:tc>
          <w:tcPr>
            <w:vAlign w:val="center"/>
          </w:tcPr>
          <w:p>
            <w:r>
              <w:t>0.5</w:t>
            </w:r>
          </w:p>
        </w:tc>
        <w:tc>
          <w:tcPr>
            <w:vAlign w:val="center"/>
          </w:tcPr>
          <w:p>
            <w:r>
              <w:t>37.2</w:t>
            </w:r>
          </w:p>
        </w:tc>
        <w:tc>
          <w:tcPr>
            <w:vAlign w:val="center"/>
          </w:tcPr>
          <w:p>
            <w:r>
              <w:t>10.3</w:t>
            </w:r>
          </w:p>
        </w:tc>
        <w:tc>
          <w:tcPr>
            <w:vAlign w:val="center"/>
          </w:tcPr>
          <w:p>
            <w:r>
              <w:t>30.1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19:00</w:t>
            </w:r>
          </w:p>
        </w:tc>
        <w:tc>
          <w:tcPr>
            <w:vAlign w:val="center"/>
          </w:tcPr>
          <w:p>
            <w:r>
              <w:t>35.7</w:t>
            </w:r>
          </w:p>
        </w:tc>
        <w:tc>
          <w:tcPr>
            <w:vAlign w:val="center"/>
          </w:tcPr>
          <w:p>
            <w:r>
              <w:t>0.5</w:t>
            </w:r>
          </w:p>
        </w:tc>
        <w:tc>
          <w:tcPr>
            <w:vAlign w:val="center"/>
          </w:tcPr>
          <w:p>
            <w:r>
              <w:t>0.0</w:t>
            </w:r>
          </w:p>
        </w:tc>
        <w:tc>
          <w:tcPr>
            <w:vAlign w:val="center"/>
          </w:tcPr>
          <w:p>
            <w:r>
              <w:t>0.0</w:t>
            </w:r>
          </w:p>
        </w:tc>
        <w:tc>
          <w:tcPr>
            <w:vAlign w:val="center"/>
          </w:tcPr>
          <w:p>
            <w:r>
              <w:t>29.6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最大湿球</w:t>
            </w:r>
            <w:r>
              <w:br w:type="textWrapping"/>
            </w:r>
            <w:r>
              <w:t>黑球强度(℃)</w:t>
            </w:r>
          </w:p>
        </w:tc>
        <w:tc>
          <w:tcPr>
            <w:gridSpan w:val="5"/>
            <w:vAlign w:val="center"/>
          </w:tcPr>
          <w:p>
            <w:r>
              <w:t>31.48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5"/>
            <w:vAlign w:val="center"/>
          </w:tcPr>
          <w:p>
            <w:r>
              <w:t>《城市居住区热环境设计标准》3.3.1条规定指标，按照5.0.1条的公式计算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5"/>
            <w:vAlign w:val="center"/>
          </w:tcPr>
          <w:p>
            <w:r>
              <w:t>居住区逐时湿球黑球温度不应大于33℃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5"/>
            <w:vAlign w:val="center"/>
          </w:tcPr>
          <w:p>
            <w:r>
              <w:t>满足</w:t>
            </w:r>
          </w:p>
        </w:tc>
      </w:tr>
    </w:tbl>
    <w:p>
      <w:pPr>
        <w:pStyle w:val="3"/>
        <w:ind w:firstLine="420"/>
        <w:rPr>
          <w:lang w:val="en-US"/>
        </w:rPr>
      </w:pPr>
      <w:bookmarkStart w:id="50" w:name="湿球黑球温度"/>
      <w:bookmarkEnd w:id="50"/>
    </w:p>
    <w:p>
      <w:pPr>
        <w:pStyle w:val="3"/>
        <w:ind w:firstLine="0" w:firstLineChars="0"/>
        <w:rPr>
          <w:lang w:val="en-US"/>
        </w:rPr>
      </w:pPr>
      <w:bookmarkStart w:id="51" w:name="湿球黑球温度图片"/>
      <w:bookmarkEnd w:id="51"/>
    </w:p>
    <w:p>
      <w:pPr>
        <w:pStyle w:val="2"/>
      </w:pPr>
      <w:bookmarkStart w:id="52" w:name="_Toc16494786"/>
      <w:r>
        <w:rPr>
          <w:rFonts w:hint="eastAsia"/>
        </w:rPr>
        <w:t>结论</w:t>
      </w:r>
      <w:bookmarkEnd w:id="52"/>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shd w:val="clear" w:color="auto" w:fill="E6E6E6"/>
            <w:vAlign w:val="center"/>
          </w:tcPr>
          <w:p>
            <w:pPr>
              <w:jc w:val="center"/>
            </w:pPr>
            <w:bookmarkStart w:id="53" w:name="结论"/>
            <w:bookmarkEnd w:id="53"/>
            <w:r>
              <w:t>类别</w:t>
            </w:r>
          </w:p>
        </w:tc>
        <w:tc>
          <w:tcPr>
            <w:tcW w:w="2800" w:type="dxa"/>
            <w:shd w:val="clear" w:color="auto" w:fill="E6E6E6"/>
            <w:vAlign w:val="center"/>
          </w:tcPr>
          <w:p>
            <w:pPr>
              <w:jc w:val="center"/>
            </w:pPr>
            <w:r>
              <w:t>检查项</w:t>
            </w:r>
          </w:p>
        </w:tc>
        <w:tc>
          <w:tcPr>
            <w:tcW w:w="1866" w:type="dxa"/>
            <w:shd w:val="clear" w:color="auto" w:fill="E6E6E6"/>
            <w:vAlign w:val="center"/>
          </w:tcPr>
          <w:p>
            <w:pPr>
              <w:jc w:val="center"/>
            </w:pPr>
            <w:r>
              <w:t>结论</w:t>
            </w:r>
          </w:p>
        </w:tc>
        <w:tc>
          <w:tcPr>
            <w:tcW w:w="2800"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b/>
              </w:rPr>
              <w:t>强制</w:t>
            </w:r>
            <w:r>
              <w:rPr>
                <w:b/>
              </w:rPr>
              <w:t>性条</w:t>
            </w:r>
            <w:r>
              <w:rPr>
                <w:rFonts w:hint="eastAsia"/>
                <w:b/>
              </w:rPr>
              <w:t>文</w:t>
            </w:r>
          </w:p>
        </w:tc>
        <w:tc>
          <w:tcPr>
            <w:tcW w:w="2800" w:type="dxa"/>
            <w:vAlign w:val="center"/>
          </w:tcPr>
          <w:p>
            <w:r>
              <w:rPr>
                <w:b/>
              </w:rPr>
              <w:t>平均迎风面积比</w:t>
            </w:r>
          </w:p>
        </w:tc>
        <w:tc>
          <w:tcPr>
            <w:tcW w:w="1866" w:type="dxa"/>
            <w:vAlign w:val="center"/>
          </w:tcPr>
          <w:p>
            <w:pPr>
              <w:rPr>
                <w:b/>
              </w:rPr>
            </w:pPr>
            <w:bookmarkStart w:id="54" w:name="平均迎风面积比结论"/>
            <w:r>
              <w:rPr>
                <w:rFonts w:hint="eastAsia"/>
                <w:b/>
              </w:rPr>
              <w:t>满足</w:t>
            </w:r>
            <w:bookmarkEnd w:id="54"/>
          </w:p>
        </w:tc>
        <w:tc>
          <w:tcPr>
            <w:tcW w:w="2800" w:type="dxa"/>
            <w:vMerge w:val="restart"/>
            <w:vAlign w:val="center"/>
          </w:tcPr>
          <w:p>
            <w:r>
              <w:rPr>
                <w:b/>
              </w:rPr>
              <w:t>强制条文，必须满足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rPr>
                <w:b/>
              </w:rPr>
              <w:t>活动场地遮阳覆盖率</w:t>
            </w:r>
          </w:p>
        </w:tc>
        <w:tc>
          <w:tcPr>
            <w:tcW w:w="1866" w:type="dxa"/>
            <w:vAlign w:val="center"/>
          </w:tcPr>
          <w:p>
            <w:pPr>
              <w:rPr>
                <w:b/>
              </w:rPr>
            </w:pPr>
            <w:bookmarkStart w:id="55" w:name="活动场地遮阳覆盖率结论"/>
            <w:r>
              <w:rPr>
                <w:rFonts w:hint="eastAsia"/>
                <w:b/>
              </w:rPr>
              <w:t>满足</w:t>
            </w:r>
            <w:bookmarkEnd w:id="55"/>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rPr>
              <w:t>评价</w:t>
            </w:r>
            <w:r>
              <w:t>性设计</w:t>
            </w:r>
          </w:p>
        </w:tc>
        <w:tc>
          <w:tcPr>
            <w:tcW w:w="2800" w:type="dxa"/>
            <w:vAlign w:val="center"/>
          </w:tcPr>
          <w:p>
            <w:r>
              <w:t>平均热岛强度</w:t>
            </w:r>
          </w:p>
        </w:tc>
        <w:tc>
          <w:tcPr>
            <w:tcW w:w="1866" w:type="dxa"/>
            <w:vAlign w:val="center"/>
          </w:tcPr>
          <w:p>
            <w:r>
              <w:t>满足</w:t>
            </w:r>
          </w:p>
        </w:tc>
        <w:tc>
          <w:tcPr>
            <w:tcW w:w="2800" w:type="dxa"/>
            <w:vMerge w:val="restart"/>
            <w:vAlign w:val="center"/>
          </w:tcPr>
          <w:p>
            <w:r>
              <w:t>需同时满足强制条文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t>湿球黑球温度</w:t>
            </w:r>
          </w:p>
        </w:tc>
        <w:tc>
          <w:tcPr>
            <w:tcW w:w="1866" w:type="dxa"/>
            <w:vAlign w:val="center"/>
          </w:tcPr>
          <w:p>
            <w:bookmarkStart w:id="56" w:name="湿球黑球温度结论"/>
            <w:r>
              <w:t>满足</w:t>
            </w:r>
            <w:bookmarkEnd w:id="56"/>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7" w:type="dxa"/>
            <w:gridSpan w:val="2"/>
            <w:shd w:val="clear" w:color="auto" w:fill="E6E6E6"/>
            <w:vAlign w:val="center"/>
          </w:tcPr>
          <w:p>
            <w:r>
              <w:t>结论</w:t>
            </w:r>
          </w:p>
        </w:tc>
        <w:tc>
          <w:tcPr>
            <w:tcW w:w="4666" w:type="dxa"/>
            <w:gridSpan w:val="2"/>
            <w:vAlign w:val="center"/>
          </w:tcPr>
          <w:p>
            <w:pPr>
              <w:rPr>
                <w:b/>
              </w:rPr>
            </w:pPr>
            <w:r>
              <w:t>满足</w:t>
            </w:r>
          </w:p>
        </w:tc>
      </w:tr>
    </w:tbl>
    <w:p>
      <w:pPr>
        <w:pStyle w:val="3"/>
        <w:ind w:firstLine="420"/>
        <w:rPr>
          <w:lang w:val="en-US"/>
        </w:rPr>
      </w:pPr>
    </w:p>
    <w:p>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7</w:t>
    </w:r>
    <w:r>
      <w:rPr>
        <w:rStyle w:val="24"/>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09D92F4C"/>
    <w:rsid w:val="0AB67C5B"/>
    <w:rsid w:val="1287465E"/>
    <w:rsid w:val="166652B5"/>
    <w:rsid w:val="1C183DA8"/>
    <w:rsid w:val="31796C3F"/>
    <w:rsid w:val="49BC3715"/>
    <w:rsid w:val="7B453D85"/>
    <w:rsid w:val="7E3C03A5"/>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uiPriority w:val="39"/>
    <w:pPr>
      <w:tabs>
        <w:tab w:val="left" w:leader="dot" w:pos="180"/>
        <w:tab w:val="left" w:pos="420"/>
        <w:tab w:val="right" w:leader="dot" w:pos="9360"/>
      </w:tabs>
    </w:pPr>
    <w:rPr>
      <w:b/>
      <w:bCs/>
      <w:kern w:val="2"/>
      <w:szCs w:val="24"/>
      <w:lang w:val="en-US"/>
    </w:rPr>
  </w:style>
  <w:style w:type="paragraph" w:styleId="17">
    <w:name w:val="toc 2"/>
    <w:basedOn w:val="1"/>
    <w:next w:val="1"/>
    <w:qFormat/>
    <w:uiPriority w:val="39"/>
    <w:pPr>
      <w:tabs>
        <w:tab w:val="left" w:pos="540"/>
        <w:tab w:val="left" w:pos="840"/>
        <w:tab w:val="right" w:leader="dot" w:pos="9360"/>
      </w:tabs>
      <w:ind w:left="200"/>
    </w:pPr>
    <w:rPr>
      <w:kern w:val="2"/>
      <w:szCs w:val="24"/>
      <w:lang w:val="en-US"/>
    </w:rPr>
  </w:style>
  <w:style w:type="paragraph" w:styleId="18">
    <w:name w:val="Normal (Web)"/>
    <w:basedOn w:val="1"/>
    <w:unhideWhenUsed/>
    <w:qFormat/>
    <w:uiPriority w:val="99"/>
    <w:pPr>
      <w:spacing w:before="100" w:beforeAutospacing="1" w:after="100" w:afterAutospacing="1"/>
    </w:pPr>
    <w:rPr>
      <w:rFonts w:ascii="宋体" w:hAnsi="宋体" w:cs="宋体"/>
      <w:sz w:val="24"/>
      <w:szCs w:val="24"/>
      <w:lang w:val="en-US"/>
    </w:rPr>
  </w:style>
  <w:style w:type="paragraph" w:styleId="19">
    <w:name w:val="Title"/>
    <w:basedOn w:val="1"/>
    <w:next w:val="1"/>
    <w:link w:val="26"/>
    <w:qFormat/>
    <w:uiPriority w:val="0"/>
    <w:pPr>
      <w:spacing w:before="240" w:after="60"/>
      <w:jc w:val="center"/>
      <w:outlineLvl w:val="0"/>
    </w:pPr>
    <w:rPr>
      <w:rFonts w:asciiTheme="majorHAnsi" w:hAnsiTheme="majorHAnsi" w:cstheme="majorBidi"/>
      <w:b/>
      <w:bCs/>
      <w:sz w:val="32"/>
      <w:szCs w:val="32"/>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page number"/>
    <w:basedOn w:val="22"/>
    <w:uiPriority w:val="0"/>
  </w:style>
  <w:style w:type="character" w:styleId="25">
    <w:name w:val="Hyperlink"/>
    <w:qFormat/>
    <w:uiPriority w:val="99"/>
    <w:rPr>
      <w:color w:val="0000FF"/>
      <w:u w:val="single"/>
    </w:rPr>
  </w:style>
  <w:style w:type="character" w:customStyle="1" w:styleId="26">
    <w:name w:val="标题 Char"/>
    <w:basedOn w:val="22"/>
    <w:link w:val="19"/>
    <w:qFormat/>
    <w:uiPriority w:val="0"/>
    <w:rPr>
      <w:rFonts w:asciiTheme="majorHAnsi" w:hAnsiTheme="majorHAnsi" w:cstheme="majorBidi"/>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3" Type="http://schemas.openxmlformats.org/officeDocument/2006/relationships/fontTable" Target="fontTable.xml"/><Relationship Id="rId72" Type="http://schemas.openxmlformats.org/officeDocument/2006/relationships/numbering" Target="numbering.xml"/><Relationship Id="rId71" Type="http://schemas.openxmlformats.org/officeDocument/2006/relationships/customXml" Target="../customXml/item1.xml"/><Relationship Id="rId70" Type="http://schemas.openxmlformats.org/officeDocument/2006/relationships/image" Target="media/image36.wmf"/><Relationship Id="rId7" Type="http://schemas.openxmlformats.org/officeDocument/2006/relationships/image" Target="media/image2.bmp"/><Relationship Id="rId69" Type="http://schemas.openxmlformats.org/officeDocument/2006/relationships/image" Target="media/image35.wmf"/><Relationship Id="rId68" Type="http://schemas.openxmlformats.org/officeDocument/2006/relationships/image" Target="media/image34.wmf"/><Relationship Id="rId67" Type="http://schemas.openxmlformats.org/officeDocument/2006/relationships/image" Target="media/image33.wmf"/><Relationship Id="rId66" Type="http://schemas.openxmlformats.org/officeDocument/2006/relationships/image" Target="media/image32.wmf"/><Relationship Id="rId65" Type="http://schemas.openxmlformats.org/officeDocument/2006/relationships/image" Target="media/image31.wmf"/><Relationship Id="rId64" Type="http://schemas.openxmlformats.org/officeDocument/2006/relationships/image" Target="media/image30.wmf"/><Relationship Id="rId63" Type="http://schemas.openxmlformats.org/officeDocument/2006/relationships/image" Target="media/image29.wmf"/><Relationship Id="rId62" Type="http://schemas.openxmlformats.org/officeDocument/2006/relationships/image" Target="media/image28.wmf"/><Relationship Id="rId61" Type="http://schemas.openxmlformats.org/officeDocument/2006/relationships/image" Target="media/image27.wmf"/><Relationship Id="rId60" Type="http://schemas.openxmlformats.org/officeDocument/2006/relationships/image" Target="media/image26.wmf"/><Relationship Id="rId6" Type="http://schemas.openxmlformats.org/officeDocument/2006/relationships/theme" Target="theme/theme1.xml"/><Relationship Id="rId59" Type="http://schemas.openxmlformats.org/officeDocument/2006/relationships/image" Target="media/image25.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image" Target="media/image24.wmf"/><Relationship Id="rId55" Type="http://schemas.openxmlformats.org/officeDocument/2006/relationships/oleObject" Target="embeddings/oleObject27.bin"/><Relationship Id="rId54" Type="http://schemas.openxmlformats.org/officeDocument/2006/relationships/image" Target="media/image23.wmf"/><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image" Target="media/image21.wmf"/><Relationship Id="rId5" Type="http://schemas.openxmlformats.org/officeDocument/2006/relationships/footer" Target="footer2.xml"/><Relationship Id="rId49" Type="http://schemas.openxmlformats.org/officeDocument/2006/relationships/oleObject" Target="embeddings/oleObject24.bin"/><Relationship Id="rId48" Type="http://schemas.openxmlformats.org/officeDocument/2006/relationships/image" Target="media/image20.wmf"/><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image" Target="media/image13.wmf"/><Relationship Id="rId26" Type="http://schemas.openxmlformats.org/officeDocument/2006/relationships/oleObject" Target="embeddings/oleObject9.bin"/><Relationship Id="rId25" Type="http://schemas.openxmlformats.org/officeDocument/2006/relationships/image" Target="media/image12.wmf"/><Relationship Id="rId24" Type="http://schemas.openxmlformats.org/officeDocument/2006/relationships/oleObject" Target="embeddings/oleObject8.bin"/><Relationship Id="rId23" Type="http://schemas.openxmlformats.org/officeDocument/2006/relationships/image" Target="media/image11.wmf"/><Relationship Id="rId22" Type="http://schemas.openxmlformats.org/officeDocument/2006/relationships/oleObject" Target="embeddings/oleObject7.bin"/><Relationship Id="rId21" Type="http://schemas.openxmlformats.org/officeDocument/2006/relationships/image" Target="media/image10.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住区热环境(评价性设计)计算书.dotx</Template>
  <Company>ths</Company>
  <Pages>7</Pages>
  <Words>507</Words>
  <Characters>2891</Characters>
  <Lines>24</Lines>
  <Paragraphs>6</Paragraphs>
  <TotalTime>1</TotalTime>
  <ScaleCrop>false</ScaleCrop>
  <LinksUpToDate>false</LinksUpToDate>
  <CharactersWithSpaces>3392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2020-03-23T09:14:00Z</dcterms:created>
  <dc:creator>human</dc:creator>
  <cp:lastModifiedBy>minzili999</cp:lastModifiedBy>
  <cp:lastPrinted>2411-12-31T16:00:00Z</cp:lastPrinted>
  <dcterms:modified xsi:type="dcterms:W3CDTF">2022-01-03T08:48:41Z</dcterms:modified>
  <dc:title>住区热环境评价性设计计算书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0F22DDE57B38413EAD022E114ED3645A</vt:lpwstr>
  </property>
</Properties>
</file>