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rPr>
                <w:rFonts w:hint="eastAsia" w:ascii="宋体" w:hAnsi="宋体"/>
              </w:rPr>
              <w:t>触Trigger——基于犀浦老城区更新的绿色建筑设计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成都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r>
              <w:rPr>
                <w:rFonts w:ascii="宋体" w:hAnsi="宋体"/>
              </w:rPr>
              <w:t>BK40764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hint="eastAsia" w:ascii="宋体" w:hAnsi="宋体" w:eastAsia="宋体"/>
                <w:szCs w:val="21"/>
                <w:lang w:val="en-US" w:eastAsia="zh-CN"/>
              </w:rPr>
            </w:pPr>
            <w:r>
              <w:rPr>
                <w:rFonts w:hint="eastAsia" w:ascii="宋体" w:hAnsi="宋体"/>
              </w:rPr>
              <w:t>曾睿思</w:t>
            </w:r>
            <w:r>
              <w:rPr>
                <w:rFonts w:hint="eastAsia" w:ascii="宋体" w:hAnsi="宋体"/>
                <w:lang w:val="en-US" w:eastAsia="zh-CN"/>
              </w:rPr>
              <w:t xml:space="preserve"> </w:t>
            </w:r>
            <w:r>
              <w:rPr>
                <w:rFonts w:hint="eastAsia" w:ascii="宋体" w:hAnsi="宋体"/>
              </w:rPr>
              <w:t>罗若澜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r>
              <w:rPr>
                <w:rFonts w:hint="eastAsia" w:ascii="宋体" w:hAnsi="宋体"/>
                <w:lang w:val="en-US" w:eastAsia="zh-CN"/>
              </w:rPr>
              <w:t xml:space="preserve"> </w:t>
            </w:r>
            <w:r>
              <w:rPr>
                <w:rFonts w:hint="eastAsia" w:ascii="宋体" w:hAnsi="宋体"/>
              </w:rPr>
              <w:t>罗若澜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r>
              <w:rPr>
                <w:rFonts w:hint="eastAsia" w:ascii="宋体" w:hAnsi="宋体"/>
              </w:rPr>
              <w:t>曾睿思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2022年01月06日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628775" cy="16287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8" w:name="目录"/>
      <w:r>
        <w:rPr>
          <w:rFonts w:ascii="宋体" w:hAnsi="宋体"/>
          <w:bCs w:val="0"/>
          <w:caps/>
        </w:rPr>
        <w:fldChar w:fldCharType="begin"/>
      </w:r>
      <w:r>
        <w:rPr>
          <w:rFonts w:ascii="宋体" w:hAnsi="宋体"/>
          <w:bCs w:val="0"/>
          <w:caps/>
        </w:rPr>
        <w:instrText xml:space="preserve"> HYPERLINK \l _Toc22409 </w:instrText>
      </w:r>
      <w:r>
        <w:rPr>
          <w:rFonts w:ascii="宋体" w:hAnsi="宋体"/>
          <w:bCs w:val="0"/>
          <w:caps/>
        </w:rPr>
        <w:fldChar w:fldCharType="separate"/>
      </w:r>
      <w:r>
        <w:rPr>
          <w:rFonts w:hint="eastAsia"/>
        </w:rPr>
        <w:t>1 项目概况</w:t>
      </w:r>
      <w:r>
        <w:tab/>
      </w:r>
      <w:r>
        <w:fldChar w:fldCharType="begin"/>
      </w:r>
      <w:r>
        <w:instrText xml:space="preserve"> PAGEREF _Toc22409 \h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_Toc26058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_Toc26058 \h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_Toc17710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_Toc17710 \h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_Toc16379 </w:instrText>
      </w:r>
      <w:r>
        <w:fldChar w:fldCharType="separate"/>
      </w:r>
      <w:r>
        <w:rPr>
          <w:rFonts w:hint="eastAsia"/>
        </w:rPr>
        <w:t>2 计算</w:t>
      </w:r>
      <w:r>
        <w:t>依据</w:t>
      </w:r>
      <w:r>
        <w:tab/>
      </w:r>
      <w:r>
        <w:fldChar w:fldCharType="begin"/>
      </w:r>
      <w:r>
        <w:instrText xml:space="preserve"> PAGEREF _Toc16379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_Toc7766 </w:instrText>
      </w:r>
      <w:r>
        <w:fldChar w:fldCharType="separate"/>
      </w:r>
      <w:r>
        <w:rPr>
          <w:rFonts w:hint="eastAsia"/>
        </w:rPr>
        <w:t>3 参考</w:t>
      </w:r>
      <w:r>
        <w:t>标准</w:t>
      </w:r>
      <w:r>
        <w:tab/>
      </w:r>
      <w:r>
        <w:fldChar w:fldCharType="begin"/>
      </w:r>
      <w:r>
        <w:instrText xml:space="preserve"> PAGEREF _Toc7766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_Toc2549 </w:instrText>
      </w:r>
      <w:r>
        <w:fldChar w:fldCharType="separate"/>
      </w:r>
      <w:r>
        <w:rPr>
          <w:rFonts w:hint="eastAsia"/>
        </w:rPr>
        <w:t>4 计算原理</w:t>
      </w:r>
      <w:r>
        <w:tab/>
      </w:r>
      <w:r>
        <w:fldChar w:fldCharType="begin"/>
      </w:r>
      <w:r>
        <w:instrText xml:space="preserve"> PAGEREF _Toc2549 \h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_Toc6711 </w:instrText>
      </w:r>
      <w:r>
        <w:fldChar w:fldCharType="separate"/>
      </w:r>
      <w:r>
        <w:rPr>
          <w:rFonts w:hint="eastAsia"/>
          <w:lang w:val="en-GB"/>
        </w:rPr>
        <w:t xml:space="preserve">4.1 </w:t>
      </w:r>
      <w:r>
        <w:rPr>
          <w:rFonts w:hint="eastAsia"/>
        </w:rPr>
        <w:t>风场计算域</w:t>
      </w:r>
      <w:r>
        <w:tab/>
      </w:r>
      <w:r>
        <w:fldChar w:fldCharType="begin"/>
      </w:r>
      <w:r>
        <w:instrText xml:space="preserve"> PAGEREF _Toc6711 \h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_Toc31361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_Toc31361 \h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_Toc18211 </w:instrText>
      </w:r>
      <w:r>
        <w:fldChar w:fldCharType="separate"/>
      </w:r>
      <w:r>
        <w:rPr>
          <w:rFonts w:hint="eastAsia"/>
          <w:lang w:val="en-GB"/>
        </w:rPr>
        <w:t xml:space="preserve">4.2 </w:t>
      </w:r>
      <w:r>
        <w:rPr>
          <w:rFonts w:hint="eastAsia"/>
        </w:rPr>
        <w:t>网格划分</w:t>
      </w:r>
      <w:r>
        <w:tab/>
      </w:r>
      <w:r>
        <w:fldChar w:fldCharType="begin"/>
      </w:r>
      <w:r>
        <w:instrText xml:space="preserve"> PAGEREF _Toc18211 \h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_Toc30384 </w:instrText>
      </w:r>
      <w:r>
        <w:fldChar w:fldCharType="separate"/>
      </w:r>
      <w:r>
        <w:rPr>
          <w:rFonts w:hint="eastAsia"/>
          <w:lang w:val="en-GB"/>
        </w:rPr>
        <w:t xml:space="preserve">4.3 </w:t>
      </w:r>
      <w:r>
        <w:rPr>
          <w:rFonts w:hint="eastAsia"/>
        </w:rPr>
        <w:t>边界条件</w:t>
      </w:r>
      <w:r>
        <w:tab/>
      </w:r>
      <w:r>
        <w:fldChar w:fldCharType="begin"/>
      </w:r>
      <w:r>
        <w:instrText xml:space="preserve"> PAGEREF _Toc30384 \h </w:instrText>
      </w:r>
      <w:r>
        <w:fldChar w:fldCharType="separate"/>
      </w:r>
      <w:r>
        <w:t>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_Toc19934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_Toc19934 \h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_Toc25670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_Toc25670 \h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_Toc9448 </w:instrText>
      </w:r>
      <w:r>
        <w:fldChar w:fldCharType="separate"/>
      </w:r>
      <w:r>
        <w:rPr>
          <w:rFonts w:hint="eastAsia"/>
          <w:lang w:val="en-GB"/>
        </w:rPr>
        <w:t xml:space="preserve">4.4 </w:t>
      </w:r>
      <w:r>
        <w:rPr>
          <w:rFonts w:hint="eastAsia"/>
        </w:rPr>
        <w:t>湍流模型</w:t>
      </w:r>
      <w:r>
        <w:tab/>
      </w:r>
      <w:r>
        <w:fldChar w:fldCharType="begin"/>
      </w:r>
      <w:r>
        <w:instrText xml:space="preserve"> PAGEREF _Toc9448 \h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_Toc4197 </w:instrText>
      </w:r>
      <w:r>
        <w:fldChar w:fldCharType="separate"/>
      </w:r>
      <w:r>
        <w:rPr>
          <w:rFonts w:hint="eastAsia"/>
          <w:lang w:val="en-GB"/>
        </w:rPr>
        <w:t xml:space="preserve">4.5 </w:t>
      </w:r>
      <w:r>
        <w:rPr>
          <w:rFonts w:hint="eastAsia"/>
        </w:rPr>
        <w:t>求解计算</w:t>
      </w:r>
      <w:r>
        <w:tab/>
      </w:r>
      <w:r>
        <w:fldChar w:fldCharType="begin"/>
      </w:r>
      <w:r>
        <w:instrText xml:space="preserve"> PAGEREF _Toc4197 \h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_Toc23282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_Toc23282 \h </w:instrText>
      </w:r>
      <w:r>
        <w:fldChar w:fldCharType="separate"/>
      </w:r>
      <w:r>
        <w:t>11</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_Toc6673 </w:instrText>
      </w:r>
      <w:r>
        <w:fldChar w:fldCharType="separate"/>
      </w:r>
      <w:r>
        <w:rPr>
          <w:rFonts w:hint="eastAsia"/>
        </w:rPr>
        <w:t>5 结果</w:t>
      </w:r>
      <w:r>
        <w:t>分析</w:t>
      </w:r>
      <w:r>
        <w:tab/>
      </w:r>
      <w:r>
        <w:fldChar w:fldCharType="begin"/>
      </w:r>
      <w:r>
        <w:instrText xml:space="preserve"> PAGEREF _Toc6673 \h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_Toc13853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_Toc13853 \h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_Toc20844 </w:instrText>
      </w:r>
      <w:r>
        <w:fldChar w:fldCharType="separate"/>
      </w:r>
      <w:r>
        <w:rPr>
          <w:rFonts w:hint="eastAsia"/>
          <w:lang w:val="en-GB"/>
        </w:rPr>
        <w:t xml:space="preserve">5.2 </w:t>
      </w:r>
      <w:r>
        <w:rPr>
          <w:rFonts w:hint="eastAsia"/>
        </w:rPr>
        <w:t>冬季工况</w:t>
      </w:r>
      <w:r>
        <w:tab/>
      </w:r>
      <w:r>
        <w:fldChar w:fldCharType="begin"/>
      </w:r>
      <w:r>
        <w:instrText xml:space="preserve"> PAGEREF _Toc20844 \h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_Toc21656 </w:instrText>
      </w:r>
      <w:r>
        <w:fldChar w:fldCharType="separate"/>
      </w:r>
      <w:r>
        <w:rPr>
          <w:rFonts w:hint="eastAsia" w:eastAsia="宋体"/>
          <w:szCs w:val="24"/>
          <w:lang w:val="en-GB"/>
        </w:rPr>
        <w:t xml:space="preserve">5.2.1 </w:t>
      </w:r>
      <w:r>
        <w:rPr>
          <w:rFonts w:hint="eastAsia"/>
        </w:rPr>
        <w:t>风速达标分析</w:t>
      </w:r>
      <w:r>
        <w:tab/>
      </w:r>
      <w:r>
        <w:fldChar w:fldCharType="begin"/>
      </w:r>
      <w:r>
        <w:instrText xml:space="preserve"> PAGEREF _Toc21656 \h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_Toc8567 </w:instrText>
      </w:r>
      <w:r>
        <w:fldChar w:fldCharType="separate"/>
      </w:r>
      <w:r>
        <w:rPr>
          <w:rFonts w:hint="eastAsia" w:eastAsia="宋体"/>
          <w:szCs w:val="24"/>
          <w:lang w:val="en-GB"/>
        </w:rPr>
        <w:t xml:space="preserve">5.2.2 </w:t>
      </w:r>
      <w:r>
        <w:rPr>
          <w:rFonts w:hint="eastAsia"/>
        </w:rPr>
        <w:t>风速放大系数达标分析</w:t>
      </w:r>
      <w:r>
        <w:tab/>
      </w:r>
      <w:r>
        <w:fldChar w:fldCharType="begin"/>
      </w:r>
      <w:r>
        <w:instrText xml:space="preserve"> PAGEREF _Toc8567 \h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_Toc30369 </w:instrText>
      </w:r>
      <w:r>
        <w:fldChar w:fldCharType="separate"/>
      </w:r>
      <w:r>
        <w:rPr>
          <w:rFonts w:hint="eastAsia" w:eastAsia="宋体"/>
          <w:szCs w:val="24"/>
          <w:lang w:val="en-GB"/>
        </w:rPr>
        <w:t xml:space="preserve">5.2.3 </w:t>
      </w:r>
      <w:r>
        <w:rPr>
          <w:rFonts w:hint="eastAsia" w:cs="宋体"/>
          <w:lang w:val="en-GB"/>
        </w:rPr>
        <w:t>人行区域</w:t>
      </w:r>
      <w:r>
        <w:rPr>
          <w:rFonts w:hint="eastAsia"/>
        </w:rPr>
        <w:t>冬季工况风速/风速放大系数达标判定</w:t>
      </w:r>
      <w:r>
        <w:tab/>
      </w:r>
      <w:r>
        <w:fldChar w:fldCharType="begin"/>
      </w:r>
      <w:r>
        <w:instrText xml:space="preserve"> PAGEREF _Toc30369 \h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_Toc18176 </w:instrText>
      </w:r>
      <w:r>
        <w:fldChar w:fldCharType="separate"/>
      </w:r>
      <w:r>
        <w:rPr>
          <w:rFonts w:hint="eastAsia" w:eastAsia="宋体"/>
          <w:szCs w:val="24"/>
          <w:lang w:val="en-GB"/>
        </w:rPr>
        <w:t xml:space="preserve">5.2.4 </w:t>
      </w:r>
      <w:r>
        <w:rPr>
          <w:rFonts w:hint="eastAsia"/>
        </w:rPr>
        <w:t>建筑迎风面和背风面风压分析</w:t>
      </w:r>
      <w:r>
        <w:tab/>
      </w:r>
      <w:r>
        <w:fldChar w:fldCharType="begin"/>
      </w:r>
      <w:r>
        <w:instrText xml:space="preserve"> PAGEREF _Toc18176 \h </w:instrText>
      </w:r>
      <w:r>
        <w:fldChar w:fldCharType="separate"/>
      </w:r>
      <w:r>
        <w:t>14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_Toc7361 </w:instrText>
      </w:r>
      <w:r>
        <w:fldChar w:fldCharType="separate"/>
      </w:r>
      <w:r>
        <w:rPr>
          <w:rFonts w:hint="eastAsia"/>
          <w:lang w:val="en-GB"/>
        </w:rPr>
        <w:t xml:space="preserve">5.3 </w:t>
      </w:r>
      <w:r>
        <w:rPr>
          <w:rFonts w:hint="eastAsia"/>
        </w:rPr>
        <w:t>结论</w:t>
      </w:r>
      <w:r>
        <w:tab/>
      </w:r>
      <w:r>
        <w:fldChar w:fldCharType="begin"/>
      </w:r>
      <w:r>
        <w:instrText xml:space="preserve"> PAGEREF _Toc7361 \h </w:instrText>
      </w:r>
      <w:r>
        <w:fldChar w:fldCharType="separate"/>
      </w:r>
      <w:r>
        <w:t>18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_Toc25488 </w:instrText>
      </w:r>
      <w:r>
        <w:fldChar w:fldCharType="separate"/>
      </w:r>
      <w:r>
        <w:rPr>
          <w:rFonts w:hint="eastAsia" w:eastAsia="宋体"/>
          <w:szCs w:val="24"/>
          <w:lang w:val="en-GB"/>
        </w:rPr>
        <w:t xml:space="preserve">5.3.1 </w:t>
      </w:r>
      <w:r>
        <w:rPr>
          <w:rFonts w:hint="eastAsia"/>
        </w:rPr>
        <w:t>冬季工况达标判断</w:t>
      </w:r>
      <w:r>
        <w:tab/>
      </w:r>
      <w:r>
        <w:fldChar w:fldCharType="begin"/>
      </w:r>
      <w:r>
        <w:instrText xml:space="preserve"> PAGEREF _Toc25488 \h </w:instrText>
      </w:r>
      <w:r>
        <w:fldChar w:fldCharType="separate"/>
      </w:r>
      <w:r>
        <w:t>18</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9" w:name="_Toc22409"/>
      <w:bookmarkStart w:id="10" w:name="_Toc452108759"/>
      <w:r>
        <w:rPr>
          <w:rFonts w:hint="eastAsia"/>
        </w:rPr>
        <w:t>项目概况</w:t>
      </w:r>
      <w:bookmarkEnd w:id="9"/>
    </w:p>
    <w:p>
      <w:pPr>
        <w:pStyle w:val="3"/>
        <w:ind w:firstLine="420"/>
        <w:rPr>
          <w:lang w:val="en-US"/>
        </w:rPr>
      </w:pPr>
      <w:bookmarkStart w:id="11" w:name="项目概况"/>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2" w:name="_Toc26058"/>
      <w:bookmarkStart w:id="13" w:name="_Toc452108760"/>
      <w:r>
        <w:rPr>
          <w:rFonts w:hint="eastAsia"/>
        </w:rPr>
        <w:t>总</w:t>
      </w:r>
      <w:r>
        <w:t>平面图</w:t>
      </w:r>
      <w:bookmarkEnd w:id="12"/>
    </w:p>
    <w:p>
      <w:pPr>
        <w:pStyle w:val="3"/>
        <w:ind w:firstLine="0" w:firstLineChars="0"/>
        <w:jc w:val="center"/>
        <w:rPr>
          <w:lang w:val="en-US"/>
        </w:rPr>
      </w:pPr>
      <w:r>
        <w:rPr>
          <w:rFonts w:hint="eastAsia"/>
          <w:lang w:val="en-US"/>
        </w:rPr>
        <w:t xml:space="preserve"> </w:t>
      </w:r>
      <w:bookmarkStart w:id="14" w:name="总平面图"/>
      <w: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0"/>
                    <a:stretch>
                      <a:fillRect/>
                    </a:stretch>
                  </pic:blipFill>
                  <pic:spPr>
                    <a:xfrm>
                      <a:off x="0" y="0"/>
                      <a:ext cx="5667375" cy="381000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5" w:name="_Toc17710"/>
      <w:bookmarkStart w:id="16" w:name="_Toc452108761"/>
      <w:r>
        <w:rPr>
          <w:rFonts w:hint="eastAsia"/>
        </w:rPr>
        <w:t>三</w:t>
      </w:r>
      <w:r>
        <w:t>维视图</w:t>
      </w:r>
      <w:bookmarkEnd w:id="15"/>
    </w:p>
    <w:p>
      <w:pPr>
        <w:pStyle w:val="3"/>
        <w:ind w:firstLine="0" w:firstLineChars="0"/>
        <w:jc w:val="center"/>
        <w:rPr>
          <w:lang w:val="en-US"/>
        </w:rPr>
      </w:pPr>
      <w:r>
        <w:rPr>
          <w:rFonts w:hint="eastAsia"/>
          <w:lang w:val="en-US"/>
        </w:rPr>
        <w:t xml:space="preserve"> </w:t>
      </w:r>
      <w:bookmarkStart w:id="17" w:name="三维视图"/>
      <w: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1"/>
                    <a:stretch>
                      <a:fillRect/>
                    </a:stretch>
                  </pic:blipFill>
                  <pic:spPr>
                    <a:xfrm>
                      <a:off x="0" y="0"/>
                      <a:ext cx="5667375" cy="38195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8" w:name="_Toc16379"/>
      <w:bookmarkStart w:id="19" w:name="TitleFormat"/>
      <w:bookmarkStart w:id="20" w:name="_Toc452108762"/>
      <w:r>
        <w:rPr>
          <w:rFonts w:hint="eastAsia"/>
        </w:rPr>
        <w:t>计算</w:t>
      </w:r>
      <w:r>
        <w:t>依据</w:t>
      </w:r>
      <w:bookmarkEnd w:id="18"/>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w:t>
      </w:r>
      <w:r>
        <w:rPr>
          <w:lang w:val="en-US"/>
        </w:rPr>
        <w:t>2019</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1" w:name="_Toc7766"/>
      <w:bookmarkStart w:id="22" w:name="_Toc452108763"/>
      <w:r>
        <w:rPr>
          <w:rFonts w:hint="eastAsia"/>
        </w:rPr>
        <w:t>参考</w:t>
      </w:r>
      <w:r>
        <w:t>标准</w:t>
      </w:r>
      <w:bookmarkEnd w:id="21"/>
    </w:p>
    <w:p>
      <w:pPr>
        <w:pStyle w:val="3"/>
        <w:ind w:firstLine="420"/>
        <w:rPr>
          <w:lang w:val="en-US"/>
        </w:rPr>
      </w:pPr>
      <w:r>
        <w:rPr>
          <w:rFonts w:hint="eastAsia"/>
          <w:lang w:val="en-US"/>
        </w:rPr>
        <w:t>室外风环境评价依据为《绿色建筑评价标准》GB/T 50378—2019中有关室外风环境的条目要求。具体要求如下：</w:t>
      </w:r>
    </w:p>
    <w:p>
      <w:pPr>
        <w:pStyle w:val="3"/>
        <w:ind w:firstLine="420"/>
        <w:rPr>
          <w:lang w:val="en-US"/>
        </w:rPr>
      </w:pPr>
      <w:bookmarkStart w:id="23" w:name="_Toc452108764"/>
      <w:bookmarkStart w:id="24" w:name="_Toc451698935"/>
      <w:bookmarkStart w:id="25"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r>
        <w:rPr>
          <w:lang w:val="en-US"/>
        </w:rPr>
        <w:t>3</w:t>
      </w:r>
      <w:r>
        <w:rPr>
          <w:rFonts w:hint="eastAsia"/>
          <w:lang w:val="en-US"/>
        </w:rPr>
        <w:t>分；除迎风第一排建筑外，建筑迎风面与背风面表面风压差不超过5Pa，得</w:t>
      </w:r>
      <w:r>
        <w:rPr>
          <w:lang w:val="en-US"/>
        </w:rPr>
        <w:t>2</w:t>
      </w:r>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r>
        <w:rPr>
          <w:lang w:val="en-US"/>
        </w:rPr>
        <w:t>3</w:t>
      </w:r>
      <w:r>
        <w:rPr>
          <w:rFonts w:hint="eastAsia"/>
          <w:lang w:val="en-US"/>
        </w:rPr>
        <w:t>分；50%以上可开启外窗室内外表面的风压差大于0.5Pa，得</w:t>
      </w:r>
      <w:r>
        <w:rPr>
          <w:lang w:val="en-US"/>
        </w:rPr>
        <w:t>2</w:t>
      </w:r>
      <w:r>
        <w:rPr>
          <w:rFonts w:hint="eastAsia"/>
          <w:lang w:val="en-US"/>
        </w:rPr>
        <w:t>分。</w:t>
      </w:r>
    </w:p>
    <w:p>
      <w:pPr>
        <w:pStyle w:val="2"/>
      </w:pPr>
      <w:bookmarkStart w:id="26" w:name="_Toc2549"/>
      <w:r>
        <w:rPr>
          <w:rFonts w:hint="eastAsia"/>
        </w:rPr>
        <w:t>计算原理</w:t>
      </w:r>
      <w:bookmarkEnd w:id="26"/>
    </w:p>
    <w:p>
      <w:pPr>
        <w:pStyle w:val="4"/>
        <w:numPr>
          <w:ilvl w:val="1"/>
          <w:numId w:val="3"/>
        </w:numPr>
      </w:pPr>
      <w:bookmarkStart w:id="27" w:name="_Toc6711"/>
      <w:bookmarkStart w:id="28" w:name="_Toc509844740"/>
      <w:bookmarkStart w:id="29" w:name="_Toc451698937"/>
      <w:bookmarkStart w:id="30" w:name="_Toc452108765"/>
      <w:r>
        <w:rPr>
          <w:rFonts w:hint="eastAsia"/>
        </w:rPr>
        <w:t>风场计算域</w:t>
      </w:r>
      <w:bookmarkEnd w:id="27"/>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1" w:name="_Toc31361"/>
      <w:r>
        <w:rPr>
          <w:rFonts w:hint="eastAsia"/>
        </w:rPr>
        <w:t>冬季工况风场计算域</w:t>
      </w:r>
      <w:bookmarkEnd w:id="31"/>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冬季工况风场计算域信息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2" w:name="冬季风场Z尺寸"/>
            <w:r>
              <w:t>322</w:t>
            </w:r>
          </w:p>
        </w:tc>
      </w:tr>
    </w:tbl>
    <w:p>
      <w:pPr>
        <w:pStyle w:val="3"/>
        <w:ind w:firstLine="0" w:firstLineChars="0"/>
        <w:jc w:val="center"/>
        <w:rPr>
          <w:lang w:val="en-US"/>
        </w:rPr>
      </w:pPr>
      <w:r>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2"/>
                    <a:stretch>
                      <a:fillRect/>
                    </a:stretch>
                  </pic:blipFill>
                  <pic:spPr>
                    <a:xfrm>
                      <a:off x="0" y="0"/>
                      <a:ext cx="5667375" cy="36195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冬季</w:t>
      </w:r>
      <w:r>
        <w:rPr>
          <w:rFonts w:hint="eastAsia"/>
        </w:rPr>
        <w:t>工况风场计算域图示</w:t>
      </w:r>
      <w:r>
        <w:rPr>
          <w:rFonts w:hint="eastAsia"/>
          <w:szCs w:val="21"/>
          <w:lang w:val="en-US"/>
        </w:rPr>
        <w:t xml:space="preserve"> </w:t>
      </w:r>
    </w:p>
    <w:p>
      <w:pPr>
        <w:pStyle w:val="3"/>
        <w:ind w:firstLine="315" w:firstLineChars="150"/>
        <w:rPr>
          <w:lang w:val="en-US"/>
        </w:rPr>
      </w:pPr>
      <w:bookmarkStart w:id="33" w:name="计算域"/>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34" w:name="_Toc18211"/>
      <w:bookmarkStart w:id="35" w:name="_Toc509844741"/>
      <w:r>
        <w:rPr>
          <w:rFonts w:hint="eastAsia"/>
        </w:rPr>
        <w:t>网格划分</w:t>
      </w:r>
      <w:bookmarkEnd w:id="34"/>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36" w:name="OLE_LINK276"/>
      <w:bookmarkStart w:id="37" w:name="OLE_LINK277"/>
      <w:r>
        <w:rPr>
          <w:rFonts w:hint="eastAsia"/>
        </w:rPr>
        <w:t>1）普通网格：指除靠近地面和建筑以外的网格，通常不需要特别加密处理</w:t>
      </w:r>
    </w:p>
    <w:p>
      <w:pPr>
        <w:pStyle w:val="12"/>
        <w:numPr>
          <w:ilvl w:val="0"/>
          <w:numId w:val="4"/>
        </w:numPr>
        <w:spacing w:before="156"/>
      </w:pPr>
      <w:bookmarkStart w:id="38" w:name="OLE_LINK15"/>
      <w:r>
        <w:rPr>
          <w:rFonts w:hint="eastAsia"/>
        </w:rPr>
        <w:t>分弧精度：对于有圆弧特征的建筑局部，把圆弧分解为线段时，弦到弧的最大距离；</w:t>
      </w:r>
    </w:p>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1143237</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w:t>
            </w:r>
          </w:p>
        </w:tc>
      </w:tr>
    </w:tbl>
    <w:p>
      <w:pPr>
        <w:rPr>
          <w:szCs w:val="21"/>
          <w:lang w:val="en-US"/>
        </w:rPr>
      </w:pPr>
    </w:p>
    <w:p>
      <w:pPr>
        <w:pStyle w:val="3"/>
        <w:ind w:firstLine="630" w:firstLineChars="300"/>
        <w:rPr>
          <w:rFonts w:ascii="黑体" w:hAnsi="黑体" w:eastAsia="黑体"/>
          <w:szCs w:val="20"/>
        </w:rPr>
      </w:pPr>
      <w:bookmarkStart w:id="39" w:name="网格划分信息"/>
      <w:bookmarkEnd w:id="39"/>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40" w:name="_Toc509844742"/>
      <w:bookmarkStart w:id="41" w:name="_Toc30384"/>
      <w:r>
        <w:rPr>
          <w:rFonts w:hint="eastAsia"/>
        </w:rPr>
        <w:t>边界条件</w:t>
      </w:r>
      <w:bookmarkEnd w:id="40"/>
      <w:bookmarkEnd w:id="41"/>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42" w:name="_Toc509844743"/>
      <w:bookmarkStart w:id="43" w:name="_Toc19934"/>
      <w:r>
        <w:rPr>
          <w:rFonts w:hint="eastAsia"/>
        </w:rPr>
        <w:t>入口与出口边界条件</w:t>
      </w:r>
      <w:bookmarkEnd w:id="42"/>
      <w:bookmarkEnd w:id="43"/>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44" w:name="地面粗糙度指数2"/>
      <w:r>
        <w:rPr>
          <w:rFonts w:hint="eastAsia"/>
          <w:lang w:val="en-US"/>
        </w:rPr>
        <w:t>0.30</w:t>
      </w:r>
      <w:bookmarkEnd w:id="44"/>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45" w:name="_Toc25670"/>
      <w:bookmarkStart w:id="46" w:name="_Toc509844744"/>
      <w:r>
        <w:rPr>
          <w:rFonts w:hint="eastAsia"/>
        </w:rPr>
        <w:t>壁面边界条件</w:t>
      </w:r>
      <w:bookmarkEnd w:id="45"/>
      <w:bookmarkEnd w:id="46"/>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47" w:name="_Toc9448"/>
      <w:r>
        <w:rPr>
          <w:rFonts w:hint="eastAsia"/>
        </w:rPr>
        <w:t>湍流模型</w:t>
      </w:r>
      <w:bookmarkEnd w:id="47"/>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48" w:name="_Toc452108767"/>
      <w:bookmarkStart w:id="49" w:name="_Toc451698939"/>
      <w:bookmarkStart w:id="50" w:name="_Toc4197"/>
      <w:r>
        <w:rPr>
          <w:rFonts w:hint="eastAsia"/>
        </w:rPr>
        <w:t>求解计算</w:t>
      </w:r>
      <w:bookmarkEnd w:id="48"/>
      <w:bookmarkEnd w:id="49"/>
      <w:bookmarkEnd w:id="50"/>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5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51"/>
      <w:r>
        <w:rPr>
          <w:rFonts w:hint="eastAsia" w:ascii="黑体" w:hAnsi="黑体" w:eastAsia="黑体"/>
          <w:sz w:val="20"/>
          <w:szCs w:val="20"/>
        </w:rPr>
        <w:t xml:space="preserve"> </w:t>
      </w:r>
      <w:bookmarkStart w:id="52" w:name="_Ref225175618"/>
      <w:r>
        <w:rPr>
          <w:rFonts w:hint="eastAsia" w:ascii="黑体" w:hAnsi="黑体" w:eastAsia="黑体"/>
          <w:sz w:val="20"/>
          <w:szCs w:val="20"/>
        </w:rPr>
        <w:t>计算流体力学的控制方程</w:t>
      </w:r>
      <w:bookmarkEnd w:id="52"/>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p>
    <w:p>
      <w:pPr>
        <w:pStyle w:val="4"/>
      </w:pPr>
      <w:bookmarkStart w:id="53" w:name="_Toc23282"/>
      <w:bookmarkStart w:id="54" w:name="_Toc509844747"/>
      <w:r>
        <w:rPr>
          <w:rFonts w:hint="eastAsia"/>
        </w:rPr>
        <w:t>风速放大系数计算</w:t>
      </w:r>
      <w:bookmarkEnd w:id="53"/>
      <w:bookmarkEnd w:id="54"/>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61" o:title=""/>
            <o:lock v:ext="edit" aspectratio="t"/>
            <w10:wrap type="none"/>
            <w10:anchorlock/>
          </v:shape>
          <o:OLEObject Type="Embed" ProgID="Equation.3" ShapeID="_x0000_i1028" DrawAspect="Content" ObjectID="_1468075728" r:id="rId60">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3" o:title=""/>
            <o:lock v:ext="edit" aspectratio="t"/>
            <w10:wrap type="none"/>
            <w10:anchorlock/>
          </v:shape>
          <o:OLEObject Type="Embed" ProgID="Equation.3" ShapeID="_x0000_i1029" DrawAspect="Content" ObjectID="_1468075729" r:id="rId62">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5" o:title=""/>
            <o:lock v:ext="edit" aspectratio="t"/>
            <w10:wrap type="none"/>
            <w10:anchorlock/>
          </v:shape>
          <o:OLEObject Type="Embed" ProgID="Equation.3" ShapeID="_x0000_i1030" DrawAspect="Content" ObjectID="_1468075730" r:id="rId64">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67" o:title=""/>
            <o:lock v:ext="edit" aspectratio="t"/>
            <w10:wrap type="none"/>
            <w10:anchorlock/>
          </v:shape>
          <o:OLEObject Type="Embed" ProgID="Equation.3" ShapeID="_x0000_i1031" DrawAspect="Content" ObjectID="_1468075731" r:id="rId66">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55" w:name="地面粗糙度指数"/>
      <w:r>
        <w:rPr>
          <w:rFonts w:hint="eastAsia"/>
          <w:lang w:val="en-US"/>
        </w:rPr>
        <w:t>0.30</w:t>
      </w:r>
      <w:bookmarkEnd w:id="55"/>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56" w:name="_Toc452108768"/>
      <w:bookmarkStart w:id="57" w:name="_Toc6673"/>
      <w:r>
        <w:rPr>
          <w:rFonts w:hint="eastAsia"/>
        </w:rPr>
        <w:t>结果</w:t>
      </w:r>
      <w:r>
        <w:t>分析</w:t>
      </w:r>
      <w:bookmarkEnd w:id="56"/>
      <w:bookmarkEnd w:id="57"/>
    </w:p>
    <w:p>
      <w:pPr>
        <w:pStyle w:val="4"/>
        <w:rPr>
          <w:szCs w:val="21"/>
        </w:rPr>
      </w:pPr>
      <w:bookmarkStart w:id="58" w:name="_Toc13853"/>
      <w:r>
        <w:rPr>
          <w:rFonts w:hint="eastAsia"/>
          <w:szCs w:val="21"/>
        </w:rPr>
        <w:t>工况</w:t>
      </w:r>
      <w:r>
        <w:rPr>
          <w:szCs w:val="21"/>
        </w:rPr>
        <w:t>表</w:t>
      </w:r>
      <w:bookmarkEnd w:id="58"/>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59"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1.90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NE</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45.0</w:t>
            </w:r>
          </w:p>
        </w:tc>
      </w:tr>
      <w:bookmarkEnd w:id="59"/>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8"/>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60" w:name="_Toc20844"/>
      <w:r>
        <w:rPr>
          <w:rFonts w:hint="eastAsia"/>
        </w:rPr>
        <w:t>冬季工况</w:t>
      </w:r>
      <w:bookmarkEnd w:id="60"/>
    </w:p>
    <w:p>
      <w:pPr>
        <w:ind w:firstLine="420" w:firstLineChars="200"/>
        <w:jc w:val="both"/>
      </w:pPr>
      <w:r>
        <w:rPr>
          <w:rFonts w:hint="eastAsia"/>
          <w:lang w:val="en-US"/>
        </w:rPr>
        <w:t>本项目冬季工况的入口边界风速为</w:t>
      </w:r>
      <w:r>
        <w:rPr>
          <w:rFonts w:hint="eastAsia" w:ascii="Calibri" w:hAnsi="Calibri"/>
          <w:szCs w:val="21"/>
        </w:rPr>
        <w:t>1.90</w:t>
      </w:r>
      <w:r>
        <w:rPr>
          <w:rFonts w:ascii="Calibri" w:hAnsi="Calibri"/>
          <w:szCs w:val="21"/>
        </w:rPr>
        <w:t>m/s</w:t>
      </w:r>
      <w:r>
        <w:rPr>
          <w:rFonts w:hint="eastAsia" w:ascii="Calibri" w:hAnsi="Calibri"/>
          <w:szCs w:val="21"/>
        </w:rPr>
        <w:t>，风向为</w:t>
      </w:r>
      <w:r>
        <w:rPr>
          <w:szCs w:val="21"/>
        </w:rPr>
        <w:t>NE</w:t>
      </w:r>
      <w:r>
        <w:rPr>
          <w:rFonts w:hint="eastAsia"/>
          <w:szCs w:val="21"/>
        </w:rPr>
        <w:t>。</w:t>
      </w:r>
    </w:p>
    <w:p>
      <w:pPr>
        <w:pStyle w:val="5"/>
      </w:pPr>
      <w:bookmarkStart w:id="61" w:name="_Toc21656"/>
      <w:r>
        <w:rPr>
          <w:rFonts w:hint="eastAsia"/>
        </w:rPr>
        <w:t>风速达标分析</w:t>
      </w:r>
      <w:bookmarkEnd w:id="61"/>
      <w:r>
        <w:rPr>
          <w:rFonts w:hint="eastAsia"/>
        </w:rPr>
        <w:t xml:space="preserve"> </w:t>
      </w:r>
    </w:p>
    <w:p>
      <w:pPr>
        <w:pStyle w:val="3"/>
        <w:ind w:firstLine="420"/>
        <w:jc w:val="left"/>
        <w:rPr>
          <w:lang w:val="en-US"/>
        </w:rPr>
      </w:pPr>
      <w:r>
        <w:rPr>
          <w:rFonts w:hint="eastAsia"/>
          <w:lang w:val="en-US"/>
        </w:rPr>
        <w:t>下图为整个计算域内风速分布云图，参考图中速度分布可以对项目中建筑布局进行优化。计算域内建筑周围如果有风速超限区域，图中会用速度上限值为5m/s的黑色等值线标示。分析下图数据，</w:t>
      </w:r>
      <w:r>
        <w:rPr>
          <w:lang w:val="en-US"/>
        </w:rPr>
        <w:t>建筑周围</w:t>
      </w:r>
      <w:r>
        <w:rPr>
          <w:color w:val="00FF00"/>
          <w:lang w:val="en-US"/>
        </w:rPr>
        <w:t>没有</w:t>
      </w:r>
      <w:r>
        <w:rPr>
          <w:lang w:val="en-US"/>
        </w:rPr>
        <w:t>风速超限区域，</w:t>
      </w:r>
      <w:r>
        <w:rPr>
          <w:color w:val="00FF00"/>
          <w:lang w:val="en-US"/>
        </w:rPr>
        <w:t>可以</w:t>
      </w:r>
      <w:r>
        <w:rPr>
          <w:lang w:val="en-US"/>
        </w:rPr>
        <w:t>采用该建筑布局。</w:t>
      </w:r>
    </w:p>
    <w:p>
      <w:pPr>
        <w:pStyle w:val="3"/>
        <w:ind w:hanging="2" w:firstLineChars="0"/>
        <w:jc w:val="center"/>
        <w:rPr>
          <w:rFonts w:ascii="Calibri Light" w:hAnsi="Calibri Light" w:eastAsia="黑体"/>
          <w:sz w:val="20"/>
          <w:szCs w:val="20"/>
        </w:rPr>
      </w:pPr>
      <w:r>
        <w:drawing>
          <wp:inline distT="0" distB="0" distL="0" distR="0">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9"/>
                    <a:stretch>
                      <a:fillRect/>
                    </a:stretch>
                  </pic:blipFill>
                  <pic:spPr>
                    <a:xfrm>
                      <a:off x="0" y="0"/>
                      <a:ext cx="5667375" cy="3486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计算域内-1.5米高度水平面风速云图-冬季</w:t>
      </w:r>
    </w:p>
    <w:p>
      <w:pPr>
        <w:pStyle w:val="5"/>
      </w:pPr>
      <w:bookmarkStart w:id="62" w:name="_Toc8567"/>
      <w:r>
        <w:rPr>
          <w:rFonts w:hint="eastAsia"/>
        </w:rPr>
        <w:t>风速放大系数达标分析</w:t>
      </w:r>
      <w:bookmarkEnd w:id="62"/>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图数据，</w:t>
      </w:r>
      <w:r>
        <w:rPr>
          <w:lang w:val="en-US"/>
        </w:rPr>
        <w:t>建筑周围</w:t>
      </w:r>
      <w:r>
        <w:rPr>
          <w:color w:val="00FF00"/>
          <w:lang w:val="en-US"/>
        </w:rPr>
        <w:t>没有</w:t>
      </w:r>
      <w:r>
        <w:rPr>
          <w:lang w:val="en-US"/>
        </w:rPr>
        <w:t>风速放大系数超限区域，</w:t>
      </w:r>
      <w:r>
        <w:rPr>
          <w:color w:val="00FF00"/>
          <w:lang w:val="en-US"/>
        </w:rPr>
        <w:t>可以</w:t>
      </w:r>
      <w:r>
        <w:rPr>
          <w:rFonts w:hint="eastAsia"/>
          <w:lang w:val="en-US" w:eastAsia="zh-CN"/>
        </w:rPr>
        <w:t>采用</w:t>
      </w:r>
      <w:r>
        <w:rPr>
          <w:lang w:val="en-US"/>
        </w:rPr>
        <w:t>建筑布局。</w:t>
      </w:r>
    </w:p>
    <w:p>
      <w:pPr>
        <w:pStyle w:val="13"/>
        <w:jc w:val="center"/>
        <w:rPr>
          <w:lang w:val="en-US"/>
        </w:rPr>
      </w:pPr>
      <w:r>
        <w:drawing>
          <wp:inline distT="0" distB="0" distL="0" distR="0">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0"/>
                    <a:stretch>
                      <a:fillRect/>
                    </a:stretch>
                  </pic:blipFill>
                  <pic:spPr>
                    <a:xfrm>
                      <a:off x="0" y="0"/>
                      <a:ext cx="5667375" cy="3476625"/>
                    </a:xfrm>
                    <a:prstGeom prst="rect">
                      <a:avLst/>
                    </a:prstGeom>
                  </pic:spPr>
                </pic:pic>
              </a:graphicData>
            </a:graphic>
          </wp:inline>
        </w:drawing>
      </w:r>
    </w:p>
    <w:p>
      <w:pPr>
        <w:pStyle w:val="13"/>
        <w:jc w:val="center"/>
        <w:rPr>
          <w:rFonts w:ascii="黑体" w:hAnsi="黑体"/>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ascii="黑体" w:hAnsi="黑体"/>
        </w:rPr>
        <w:t>1.5米高处风速放大系数云图</w:t>
      </w: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1）户外活动主要场地包括人行道、广场、游憩场、停车场以及庭院，本项目中均定义为人行区。</w:t>
      </w:r>
    </w:p>
    <w:p>
      <w:pPr>
        <w:pStyle w:val="3"/>
        <w:ind w:firstLine="420"/>
        <w:rPr>
          <w:rFonts w:ascii="黑体" w:hAnsi="黑体" w:eastAsia="黑体"/>
          <w:szCs w:val="20"/>
          <w:lang w:val="en-US"/>
        </w:rPr>
      </w:pPr>
      <w:r>
        <w:rPr>
          <w:rFonts w:hint="eastAsia" w:ascii="黑体" w:hAnsi="黑体" w:eastAsia="黑体"/>
          <w:szCs w:val="20"/>
          <w:lang w:val="en-US"/>
        </w:rPr>
        <w:t>2）人行区和计算域内风速分布云图中图例上限均为计算域内实际风速最大值，图例上限也可按需求在软件中调整。</w:t>
      </w:r>
    </w:p>
    <w:p>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pPr>
        <w:pStyle w:val="5"/>
      </w:pPr>
      <w:bookmarkStart w:id="63" w:name="_Toc509844753"/>
      <w:bookmarkStart w:id="64" w:name="_Toc30369"/>
      <w:r>
        <w:rPr>
          <w:rFonts w:hint="eastAsia" w:cs="宋体"/>
          <w:lang w:val="en-GB"/>
        </w:rPr>
        <w:t>人行区域</w:t>
      </w:r>
      <w:r>
        <w:rPr>
          <w:rFonts w:hint="eastAsia"/>
        </w:rPr>
        <w:t>冬季工况风速/风速放大系数达标判定</w:t>
      </w:r>
      <w:bookmarkEnd w:id="63"/>
      <w:bookmarkEnd w:id="64"/>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6378" w:type="dxa"/>
        <w:jc w:val="center"/>
        <w:tblLayout w:type="autofit"/>
        <w:tblCellMar>
          <w:top w:w="0" w:type="dxa"/>
          <w:left w:w="108" w:type="dxa"/>
          <w:bottom w:w="0" w:type="dxa"/>
          <w:right w:w="108" w:type="dxa"/>
        </w:tblCellMar>
      </w:tblPr>
      <w:tblGrid>
        <w:gridCol w:w="1559"/>
        <w:gridCol w:w="1701"/>
        <w:gridCol w:w="1843"/>
        <w:gridCol w:w="1275"/>
      </w:tblGrid>
      <w:tr>
        <w:tblPrEx>
          <w:tblCellMar>
            <w:top w:w="0" w:type="dxa"/>
            <w:left w:w="108" w:type="dxa"/>
            <w:bottom w:w="0" w:type="dxa"/>
            <w:right w:w="108" w:type="dxa"/>
          </w:tblCellMar>
        </w:tblPrEx>
        <w:trPr>
          <w:trHeight w:val="27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 xml:space="preserve">&lt;5m/s </w:t>
            </w:r>
            <w:r>
              <w:rPr>
                <w:rFonts w:hint="eastAsia" w:ascii="宋体" w:hAnsi="宋体" w:cs="宋体"/>
                <w:szCs w:val="21"/>
              </w:rPr>
              <w:t xml:space="preserve">或 </w:t>
            </w:r>
            <w:r>
              <w:rPr>
                <w:rFonts w:ascii="宋体" w:hAnsi="宋体" w:cs="宋体"/>
                <w:szCs w:val="21"/>
              </w:rPr>
              <w:t>&lt;2m/s</w:t>
            </w:r>
            <w:bookmarkEnd w:id="14"/>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否</w:t>
            </w:r>
            <w:bookmarkEnd w:id="16"/>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65" w:name="冬季工况风速达标判断"/>
            <w:r>
              <w:rPr>
                <w:rFonts w:hint="eastAsia" w:ascii="宋体" w:hAnsi="宋体" w:cs="宋体"/>
                <w:color w:val="000000"/>
                <w:sz w:val="22"/>
                <w:szCs w:val="22"/>
                <w:lang w:val="en-US"/>
              </w:rPr>
              <w:t>是</w:t>
            </w:r>
            <w:bookmarkEnd w:id="65"/>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&lt;2</w:t>
            </w:r>
          </w:p>
          <w:bookmarkEnd w:id="17"/>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themeColor="text1"/>
                <w:sz w:val="22"/>
                <w:szCs w:val="22"/>
                <w:lang w:val="en-US"/>
              </w:rPr>
              <w:t>否</w:t>
            </w:r>
          </w:p>
          <w:bookmarkEnd w:id="19"/>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themeColor="text1"/>
                <w:sz w:val="22"/>
                <w:szCs w:val="22"/>
                <w:lang w:val="en-US"/>
              </w:rPr>
              <w:t>是</w:t>
            </w:r>
          </w:p>
        </w:tc>
      </w:tr>
      <w:bookmarkEnd w:id="20"/>
      <w:bookmarkEnd w:id="22"/>
      <w:bookmarkEnd w:id="23"/>
      <w:bookmarkEnd w:id="24"/>
    </w:tbl>
    <w:p>
      <w:pPr>
        <w:pStyle w:val="5"/>
      </w:pPr>
      <w:bookmarkStart w:id="66" w:name="_Toc18176"/>
      <w:r>
        <w:rPr>
          <w:rFonts w:hint="eastAsia"/>
        </w:rPr>
        <w:t>建筑迎风面和背风面风压分析</w:t>
      </w:r>
      <w:bookmarkEnd w:id="25"/>
      <w:bookmarkEnd w:id="66"/>
    </w:p>
    <w:p>
      <w:pPr>
        <w:pStyle w:val="3"/>
        <w:ind w:firstLine="420"/>
        <w:rPr>
          <w:lang w:val="en-US"/>
        </w:rPr>
      </w:pPr>
      <w:r>
        <w:rPr>
          <w:rFonts w:hint="eastAsia"/>
          <w:lang w:val="en-US"/>
        </w:rPr>
        <w:t>标准中规定“冬季工况下除迎风第一排建筑外，建筑迎风面与背风面表面风压差不超过5Pa”，避免由于建筑迎风面与背</w:t>
      </w:r>
      <w:bookmarkEnd w:id="28"/>
      <w:r>
        <w:rPr>
          <w:rFonts w:hint="eastAsia"/>
          <w:lang w:val="en-US"/>
        </w:rPr>
        <w:t>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pic:cNvPicPr>
                      <a:picLocks noChangeAspect="1" noChangeArrowheads="1"/>
                    </pic:cNvPicPr>
                  </pic:nvPicPr>
                  <pic:blipFill>
                    <a:blip r:embed="rId71">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bookmarkEnd w:id="29"/>
    <w:p>
      <w:pPr>
        <w:pStyle w:val="13"/>
        <w:jc w:val="center"/>
        <w:rPr>
          <w:lang w:val="en-US"/>
        </w:rPr>
      </w:pPr>
      <w:r>
        <w:drawing>
          <wp:inline distT="0" distB="0" distL="0" distR="0">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2"/>
                    <a:stretch>
                      <a:fillRect/>
                    </a:stretch>
                  </pic:blipFill>
                  <pic:spPr>
                    <a:xfrm>
                      <a:off x="0" y="0"/>
                      <a:ext cx="5667375" cy="36195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bookmarkEnd w:id="30"/>
    <w:p>
      <w:pPr>
        <w:pStyle w:val="13"/>
        <w:jc w:val="center"/>
      </w:pPr>
      <w:r>
        <w:drawing>
          <wp:inline distT="0" distB="0" distL="0" distR="0">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3"/>
                    <a:stretch>
                      <a:fillRect/>
                    </a:stretch>
                  </pic:blipFill>
                  <pic:spPr>
                    <a:xfrm>
                      <a:off x="0" y="0"/>
                      <a:ext cx="5667375" cy="36385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pStyle w:val="6"/>
      </w:pPr>
      <w:r>
        <w:rPr>
          <w:rFonts w:hint="eastAsia"/>
        </w:rPr>
        <w:t>建筑迎风面和背风面风压差计算结果</w:t>
      </w:r>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-DT单体(1.9)</w:t>
      </w:r>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7层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4.16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-1.67</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5.83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8层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-3.31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-1.78</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9层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-3.16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-1.67</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10层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-3.07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-1.67</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-2.98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-1.80</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-2.84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-1.79</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13层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-2.79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-1.77</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14层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-2.72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-1.76</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15层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-2.68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-1.73</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16层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-2.60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-1.69</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17层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-0.28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-1.48</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18层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-2.39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-1.44</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19层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-2.33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-1.57</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20层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-2.30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-1.53</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-2.27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-1.51</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-2.25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-1.48</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23层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-2.25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-1.49</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24层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-2.27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-1.48</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25层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-2.34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-1.44</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26层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-2.43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-1.47</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27层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-2.52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-1.54</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28层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-2.61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-1.57</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29层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-2.69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-1.60</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30层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-2.76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-1.65</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-2.84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-1.68</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-2.91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-1.72</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33层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-2.93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-1.79</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34层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-3.12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-1.85</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35层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-3.20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-1.82</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36层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-3.34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-1.91</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37层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-3.48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-2.06</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38层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-3.63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-2.28</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39层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-3.74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-2.59</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-1.15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40层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-3.90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-2.92</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41层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-4.05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-3.09</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42层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-4.19</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-3.23</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-2.38</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-1.83</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-0.55</w:t>
            </w:r>
          </w:p>
        </w:tc>
      </w:tr>
    </w:tbl>
    <w:p>
      <w:r>
        <w:t>标准要求：迎背风面窗平均风压差（绝对值）≤5Pa。结论：该楼</w:t>
      </w:r>
      <w:r>
        <w:rPr>
          <w:b/>
          <w:color w:val="0000FF"/>
        </w:rPr>
        <w:t>达标</w:t>
      </w:r>
      <w:r>
        <w:t>。</w:t>
      </w:r>
    </w:p>
    <w:bookmarkEnd w:id="33"/>
    <w:bookmarkEnd w:id="35"/>
    <w:p>
      <w:pPr>
        <w:jc w:val="center"/>
        <w:rPr>
          <w:rFonts w:ascii="Cambria" w:hAnsi="Cambria" w:eastAsia="黑体"/>
          <w:sz w:val="20"/>
        </w:rPr>
      </w:pPr>
    </w:p>
    <w:bookmarkEnd w:id="36"/>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3</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DT单体(1.9)</w:t>
            </w:r>
          </w:p>
        </w:tc>
        <w:tc>
          <w:tcPr>
            <w:tcW w:w="1276" w:type="dxa"/>
            <w:shd w:val="clear" w:color="auto" w:fill="auto"/>
            <w:vAlign w:val="center"/>
          </w:tcPr>
          <w:p>
            <w:pPr>
              <w:jc w:val="center"/>
              <w:rPr>
                <w:lang w:val="en-US"/>
              </w:rPr>
            </w:pPr>
            <w:r>
              <w:rPr>
                <w:lang w:val="en-US"/>
              </w:rPr>
              <w:t>-2.38</w:t>
            </w:r>
          </w:p>
        </w:tc>
        <w:tc>
          <w:tcPr>
            <w:tcW w:w="1276" w:type="dxa"/>
            <w:shd w:val="clear" w:color="auto" w:fill="auto"/>
            <w:vAlign w:val="center"/>
          </w:tcPr>
          <w:p>
            <w:pPr>
              <w:jc w:val="center"/>
              <w:rPr>
                <w:lang w:val="en-US"/>
              </w:rPr>
            </w:pPr>
            <w:r>
              <w:rPr>
                <w:lang w:val="en-US"/>
              </w:rPr>
              <w:t>-1.83</w:t>
            </w:r>
          </w:p>
        </w:tc>
        <w:tc>
          <w:tcPr>
            <w:tcW w:w="1701" w:type="dxa"/>
            <w:shd w:val="clear" w:color="auto" w:fill="auto"/>
            <w:vAlign w:val="center"/>
          </w:tcPr>
          <w:p>
            <w:pPr>
              <w:jc w:val="center"/>
              <w:rPr>
                <w:lang w:val="en-US"/>
              </w:rPr>
            </w:pPr>
            <w:r>
              <w:rPr>
                <w:lang w:val="en-US"/>
              </w:rPr>
              <w:t>-0.55</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未命名(11124)</w:t>
            </w:r>
          </w:p>
        </w:tc>
        <w:tc>
          <w:tcPr>
            <w:tcW w:w="1276" w:type="dxa"/>
            <w:shd w:val="clear" w:color="auto" w:fill="auto"/>
            <w:vAlign w:val="center"/>
          </w:tcPr>
          <w:p>
            <w:pPr>
              <w:jc w:val="center"/>
              <w:rPr>
                <w:lang w:val="en-US"/>
              </w:rPr>
            </w:pPr>
            <w:r>
              <w:rPr>
                <w:lang w:val="en-US"/>
              </w:rPr>
              <w:t>0.64</w:t>
            </w:r>
          </w:p>
        </w:tc>
        <w:tc>
          <w:tcPr>
            <w:tcW w:w="1276" w:type="dxa"/>
            <w:shd w:val="clear" w:color="auto" w:fill="auto"/>
            <w:vAlign w:val="center"/>
          </w:tcPr>
          <w:p>
            <w:pPr>
              <w:jc w:val="center"/>
              <w:rPr>
                <w:lang w:val="en-US"/>
              </w:rPr>
            </w:pPr>
            <w:r>
              <w:rPr>
                <w:lang w:val="en-US"/>
              </w:rPr>
              <w:t>-4.33</w:t>
            </w:r>
          </w:p>
        </w:tc>
        <w:tc>
          <w:tcPr>
            <w:tcW w:w="1701" w:type="dxa"/>
            <w:shd w:val="clear" w:color="auto" w:fill="auto"/>
            <w:vAlign w:val="center"/>
          </w:tcPr>
          <w:p>
            <w:pPr>
              <w:jc w:val="center"/>
              <w:rPr>
                <w:lang w:val="en-US"/>
              </w:rPr>
            </w:pPr>
            <w:r>
              <w:rPr>
                <w:lang w:val="en-US"/>
              </w:rPr>
              <w:t>4.97</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未命名(1112A)</w:t>
            </w:r>
          </w:p>
        </w:tc>
        <w:tc>
          <w:tcPr>
            <w:tcW w:w="1276" w:type="dxa"/>
            <w:shd w:val="clear" w:color="auto" w:fill="auto"/>
            <w:vAlign w:val="center"/>
          </w:tcPr>
          <w:p>
            <w:pPr>
              <w:jc w:val="center"/>
              <w:rPr>
                <w:lang w:val="en-US"/>
              </w:rPr>
            </w:pPr>
            <w:r>
              <w:rPr>
                <w:lang w:val="en-US"/>
              </w:rPr>
              <w:t>2.09</w:t>
            </w:r>
          </w:p>
        </w:tc>
        <w:tc>
          <w:tcPr>
            <w:tcW w:w="1276" w:type="dxa"/>
            <w:shd w:val="clear" w:color="auto" w:fill="auto"/>
            <w:vAlign w:val="center"/>
          </w:tcPr>
          <w:p>
            <w:pPr>
              <w:jc w:val="center"/>
              <w:rPr>
                <w:lang w:val="en-US"/>
              </w:rPr>
            </w:pPr>
            <w:r>
              <w:rPr>
                <w:lang w:val="en-US"/>
              </w:rPr>
              <w:t>-2.58</w:t>
            </w:r>
          </w:p>
        </w:tc>
        <w:tc>
          <w:tcPr>
            <w:tcW w:w="1701" w:type="dxa"/>
            <w:shd w:val="clear" w:color="auto" w:fill="auto"/>
            <w:vAlign w:val="center"/>
          </w:tcPr>
          <w:p>
            <w:pPr>
              <w:jc w:val="center"/>
              <w:rPr>
                <w:lang w:val="en-US"/>
              </w:rPr>
            </w:pPr>
            <w:r>
              <w:rPr>
                <w:lang w:val="en-US"/>
              </w:rPr>
              <w:t>4.68</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未命名(1112E)</w:t>
            </w:r>
          </w:p>
        </w:tc>
        <w:tc>
          <w:tcPr>
            <w:tcW w:w="1276" w:type="dxa"/>
            <w:shd w:val="clear" w:color="auto" w:fill="auto"/>
            <w:vAlign w:val="center"/>
          </w:tcPr>
          <w:p>
            <w:pPr>
              <w:jc w:val="center"/>
              <w:rPr>
                <w:lang w:val="en-US"/>
              </w:rPr>
            </w:pPr>
            <w:r>
              <w:rPr>
                <w:lang w:val="en-US"/>
              </w:rPr>
              <w:t>1.80</w:t>
            </w:r>
          </w:p>
        </w:tc>
        <w:tc>
          <w:tcPr>
            <w:tcW w:w="1276" w:type="dxa"/>
            <w:shd w:val="clear" w:color="auto" w:fill="auto"/>
            <w:vAlign w:val="center"/>
          </w:tcPr>
          <w:p>
            <w:pPr>
              <w:jc w:val="center"/>
              <w:rPr>
                <w:lang w:val="en-US"/>
              </w:rPr>
            </w:pPr>
            <w:r>
              <w:rPr>
                <w:lang w:val="en-US"/>
              </w:rPr>
              <w:t>-2.68</w:t>
            </w:r>
          </w:p>
        </w:tc>
        <w:tc>
          <w:tcPr>
            <w:tcW w:w="1701" w:type="dxa"/>
            <w:shd w:val="clear" w:color="auto" w:fill="auto"/>
            <w:vAlign w:val="center"/>
          </w:tcPr>
          <w:p>
            <w:pPr>
              <w:jc w:val="center"/>
              <w:rPr>
                <w:lang w:val="en-US"/>
              </w:rPr>
            </w:pPr>
            <w:r>
              <w:rPr>
                <w:lang w:val="en-US"/>
              </w:rPr>
              <w:t>4.48</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未命名(11133)</w:t>
            </w:r>
          </w:p>
        </w:tc>
        <w:tc>
          <w:tcPr>
            <w:tcW w:w="1276" w:type="dxa"/>
            <w:shd w:val="clear" w:color="auto" w:fill="auto"/>
            <w:vAlign w:val="center"/>
          </w:tcPr>
          <w:p>
            <w:pPr>
              <w:jc w:val="center"/>
              <w:rPr>
                <w:lang w:val="en-US"/>
              </w:rPr>
            </w:pPr>
            <w:r>
              <w:rPr>
                <w:lang w:val="en-US"/>
              </w:rPr>
              <w:t>4.62</w:t>
            </w:r>
          </w:p>
        </w:tc>
        <w:tc>
          <w:tcPr>
            <w:tcW w:w="1276" w:type="dxa"/>
            <w:shd w:val="clear" w:color="auto" w:fill="auto"/>
            <w:vAlign w:val="center"/>
          </w:tcPr>
          <w:p>
            <w:pPr>
              <w:jc w:val="center"/>
              <w:rPr>
                <w:lang w:val="en-US"/>
              </w:rPr>
            </w:pPr>
            <w:r>
              <w:rPr>
                <w:lang w:val="en-US"/>
              </w:rPr>
              <w:t>-1.95</w:t>
            </w:r>
          </w:p>
        </w:tc>
        <w:tc>
          <w:tcPr>
            <w:tcW w:w="1701" w:type="dxa"/>
            <w:shd w:val="clear" w:color="auto" w:fill="auto"/>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5.63</w:t>
            </w:r>
          </w:p>
        </w:tc>
        <w:tc>
          <w:tcPr>
            <w:tcW w:w="973" w:type="dxa"/>
            <w:shd w:val="clear" w:color="auto" w:fill="auto"/>
            <w:vAlign w:val="center"/>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未命名(11EB7)</w:t>
            </w:r>
          </w:p>
        </w:tc>
        <w:tc>
          <w:tcPr>
            <w:tcW w:w="1276" w:type="dxa"/>
            <w:shd w:val="clear" w:color="auto" w:fill="auto"/>
            <w:vAlign w:val="center"/>
          </w:tcPr>
          <w:p>
            <w:pPr>
              <w:jc w:val="center"/>
              <w:rPr>
                <w:lang w:val="en-US"/>
              </w:rPr>
            </w:pPr>
            <w:r>
              <w:rPr>
                <w:lang w:val="en-US"/>
              </w:rPr>
              <w:t>2.69</w:t>
            </w:r>
          </w:p>
        </w:tc>
        <w:tc>
          <w:tcPr>
            <w:tcW w:w="1276" w:type="dxa"/>
            <w:shd w:val="clear" w:color="auto" w:fill="auto"/>
            <w:vAlign w:val="center"/>
          </w:tcPr>
          <w:p>
            <w:pPr>
              <w:jc w:val="center"/>
              <w:rPr>
                <w:lang w:val="en-US"/>
              </w:rPr>
            </w:pPr>
            <w:r>
              <w:rPr>
                <w:lang w:val="en-US"/>
              </w:rPr>
              <w:t>-0.81</w:t>
            </w:r>
          </w:p>
        </w:tc>
        <w:tc>
          <w:tcPr>
            <w:tcW w:w="1701" w:type="dxa"/>
            <w:shd w:val="clear" w:color="auto" w:fill="auto"/>
            <w:vAlign w:val="center"/>
          </w:tcPr>
          <w:p>
            <w:pPr>
              <w:jc w:val="center"/>
              <w:rPr>
                <w:color w:val="000000" w:themeColor="text1"/>
                <w:lang w:val="en-US"/>
                <w14:textFill>
                  <w14:solidFill>
                    <w14:schemeClr w14:val="tx1"/>
                  </w14:solidFill>
                </w14:textFill>
              </w:rPr>
            </w:pPr>
            <w:r>
              <w:rPr>
                <w:color w:val="000000" w:themeColor="text1"/>
                <w:lang w:val="en-US"/>
                <w14:textFill>
                  <w14:solidFill>
                    <w14:schemeClr w14:val="tx1"/>
                  </w14:solidFill>
                </w14:textFill>
              </w:rPr>
              <w:t>3.49</w:t>
            </w:r>
          </w:p>
        </w:tc>
        <w:tc>
          <w:tcPr>
            <w:tcW w:w="973" w:type="dxa"/>
            <w:shd w:val="clear" w:color="auto" w:fill="auto"/>
            <w:vAlign w:val="center"/>
          </w:tcPr>
          <w:p>
            <w:pPr>
              <w:jc w:val="center"/>
              <w:rPr>
                <w:color w:val="000000" w:themeColor="text1"/>
                <w:lang w:val="en-US"/>
                <w14:textFill>
                  <w14:solidFill>
                    <w14:schemeClr w14:val="tx1"/>
                  </w14:solidFill>
                </w14:textFill>
              </w:rPr>
            </w:pPr>
            <w:r>
              <w:rPr>
                <w:color w:val="000000" w:themeColor="text1"/>
                <w:lang w:val="en-US"/>
                <w14:textFill>
                  <w14:solidFill>
                    <w14:schemeClr w14:val="tx1"/>
                  </w14:solidFill>
                </w14:textFill>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未命名(11EBB)</w:t>
            </w:r>
          </w:p>
        </w:tc>
        <w:tc>
          <w:tcPr>
            <w:tcW w:w="1276" w:type="dxa"/>
            <w:shd w:val="clear" w:color="auto" w:fill="auto"/>
            <w:vAlign w:val="center"/>
          </w:tcPr>
          <w:p>
            <w:pPr>
              <w:jc w:val="center"/>
              <w:rPr>
                <w:lang w:val="en-US"/>
              </w:rPr>
            </w:pPr>
            <w:r>
              <w:rPr>
                <w:lang w:val="en-US"/>
              </w:rPr>
              <w:t>0.72</w:t>
            </w:r>
          </w:p>
        </w:tc>
        <w:tc>
          <w:tcPr>
            <w:tcW w:w="1276" w:type="dxa"/>
            <w:shd w:val="clear" w:color="auto" w:fill="auto"/>
            <w:vAlign w:val="center"/>
          </w:tcPr>
          <w:p>
            <w:pPr>
              <w:jc w:val="center"/>
              <w:rPr>
                <w:lang w:val="en-US"/>
              </w:rPr>
            </w:pPr>
            <w:r>
              <w:rPr>
                <w:lang w:val="en-US"/>
              </w:rPr>
              <w:t>-2.53</w:t>
            </w:r>
          </w:p>
        </w:tc>
        <w:tc>
          <w:tcPr>
            <w:tcW w:w="1701" w:type="dxa"/>
            <w:shd w:val="clear" w:color="auto" w:fill="auto"/>
            <w:vAlign w:val="center"/>
          </w:tcPr>
          <w:p>
            <w:pPr>
              <w:jc w:val="center"/>
              <w:rPr>
                <w:color w:val="000000" w:themeColor="text1"/>
                <w:lang w:val="en-US"/>
                <w14:textFill>
                  <w14:solidFill>
                    <w14:schemeClr w14:val="tx1"/>
                  </w14:solidFill>
                </w14:textFill>
              </w:rPr>
            </w:pPr>
            <w:r>
              <w:rPr>
                <w:color w:val="000000" w:themeColor="text1"/>
                <w:lang w:val="en-US"/>
                <w14:textFill>
                  <w14:solidFill>
                    <w14:schemeClr w14:val="tx1"/>
                  </w14:solidFill>
                </w14:textFill>
              </w:rPr>
              <w:t>3.26</w:t>
            </w:r>
          </w:p>
        </w:tc>
        <w:tc>
          <w:tcPr>
            <w:tcW w:w="973" w:type="dxa"/>
            <w:shd w:val="clear" w:color="auto" w:fill="auto"/>
            <w:vAlign w:val="center"/>
          </w:tcPr>
          <w:p>
            <w:pPr>
              <w:jc w:val="center"/>
              <w:rPr>
                <w:color w:val="000000" w:themeColor="text1"/>
                <w:lang w:val="en-US"/>
                <w14:textFill>
                  <w14:solidFill>
                    <w14:schemeClr w14:val="tx1"/>
                  </w14:solidFill>
                </w14:textFill>
              </w:rPr>
            </w:pPr>
            <w:r>
              <w:rPr>
                <w:color w:val="000000" w:themeColor="text1"/>
                <w:lang w:val="en-US"/>
                <w14:textFill>
                  <w14:solidFill>
                    <w14:schemeClr w14:val="tx1"/>
                  </w14:solidFill>
                </w14:textFill>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未命名(11EBF)</w:t>
            </w:r>
          </w:p>
        </w:tc>
        <w:tc>
          <w:tcPr>
            <w:tcW w:w="1276" w:type="dxa"/>
            <w:shd w:val="clear" w:color="auto" w:fill="auto"/>
            <w:vAlign w:val="center"/>
          </w:tcPr>
          <w:p>
            <w:pPr>
              <w:jc w:val="center"/>
              <w:rPr>
                <w:lang w:val="en-US"/>
              </w:rPr>
            </w:pPr>
            <w:r>
              <w:rPr>
                <w:lang w:val="en-US"/>
              </w:rPr>
              <w:t>0.57</w:t>
            </w:r>
          </w:p>
        </w:tc>
        <w:tc>
          <w:tcPr>
            <w:tcW w:w="1276" w:type="dxa"/>
            <w:shd w:val="clear" w:color="auto" w:fill="auto"/>
            <w:vAlign w:val="center"/>
          </w:tcPr>
          <w:p>
            <w:pPr>
              <w:jc w:val="center"/>
              <w:rPr>
                <w:lang w:val="en-US"/>
              </w:rPr>
            </w:pPr>
            <w:r>
              <w:rPr>
                <w:lang w:val="en-US"/>
              </w:rPr>
              <w:t>-0.22</w:t>
            </w:r>
          </w:p>
        </w:tc>
        <w:tc>
          <w:tcPr>
            <w:tcW w:w="1701" w:type="dxa"/>
            <w:shd w:val="clear" w:color="auto" w:fill="auto"/>
            <w:vAlign w:val="center"/>
          </w:tcPr>
          <w:p>
            <w:pPr>
              <w:jc w:val="center"/>
              <w:rPr>
                <w:color w:val="000000" w:themeColor="text1"/>
                <w:lang w:val="en-US"/>
                <w14:textFill>
                  <w14:solidFill>
                    <w14:schemeClr w14:val="tx1"/>
                  </w14:solidFill>
                </w14:textFill>
              </w:rPr>
            </w:pPr>
            <w:r>
              <w:rPr>
                <w:color w:val="000000" w:themeColor="text1"/>
                <w:lang w:val="en-US"/>
                <w14:textFill>
                  <w14:solidFill>
                    <w14:schemeClr w14:val="tx1"/>
                  </w14:solidFill>
                </w14:textFill>
              </w:rPr>
              <w:t>0.78</w:t>
            </w:r>
          </w:p>
        </w:tc>
        <w:tc>
          <w:tcPr>
            <w:tcW w:w="973" w:type="dxa"/>
            <w:shd w:val="clear" w:color="auto" w:fill="auto"/>
            <w:vAlign w:val="center"/>
          </w:tcPr>
          <w:p>
            <w:pPr>
              <w:jc w:val="center"/>
              <w:rPr>
                <w:color w:val="000000" w:themeColor="text1"/>
                <w:lang w:val="en-US"/>
                <w14:textFill>
                  <w14:solidFill>
                    <w14:schemeClr w14:val="tx1"/>
                  </w14:solidFill>
                </w14:textFill>
              </w:rPr>
            </w:pPr>
            <w:r>
              <w:rPr>
                <w:color w:val="000000" w:themeColor="text1"/>
                <w:lang w:val="en-US"/>
                <w14:textFill>
                  <w14:solidFill>
                    <w14:schemeClr w14:val="tx1"/>
                  </w14:solidFill>
                </w14:textFill>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未命名(11EC3)</w:t>
            </w:r>
          </w:p>
        </w:tc>
        <w:tc>
          <w:tcPr>
            <w:tcW w:w="1276" w:type="dxa"/>
            <w:shd w:val="clear" w:color="auto" w:fill="auto"/>
            <w:vAlign w:val="center"/>
          </w:tcPr>
          <w:p>
            <w:pPr>
              <w:jc w:val="center"/>
              <w:rPr>
                <w:lang w:val="en-US"/>
              </w:rPr>
            </w:pPr>
            <w:r>
              <w:rPr>
                <w:lang w:val="en-US"/>
              </w:rPr>
              <w:t>7.28</w:t>
            </w:r>
          </w:p>
        </w:tc>
        <w:tc>
          <w:tcPr>
            <w:tcW w:w="1276" w:type="dxa"/>
            <w:shd w:val="clear" w:color="auto" w:fill="auto"/>
            <w:vAlign w:val="center"/>
          </w:tcPr>
          <w:p>
            <w:pPr>
              <w:jc w:val="center"/>
              <w:rPr>
                <w:lang w:val="en-US"/>
              </w:rPr>
            </w:pPr>
            <w:r>
              <w:rPr>
                <w:lang w:val="en-US"/>
              </w:rPr>
              <w:t>-0.11</w:t>
            </w:r>
          </w:p>
        </w:tc>
        <w:tc>
          <w:tcPr>
            <w:tcW w:w="1701" w:type="dxa"/>
            <w:shd w:val="clear" w:color="auto" w:fill="auto"/>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4.75</w:t>
            </w:r>
          </w:p>
        </w:tc>
        <w:tc>
          <w:tcPr>
            <w:tcW w:w="973" w:type="dxa"/>
            <w:shd w:val="clear" w:color="auto" w:fill="auto"/>
            <w:vAlign w:val="center"/>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未命名(11ECC)</w:t>
            </w:r>
          </w:p>
        </w:tc>
        <w:tc>
          <w:tcPr>
            <w:tcW w:w="1276" w:type="dxa"/>
            <w:shd w:val="clear" w:color="auto" w:fill="auto"/>
            <w:vAlign w:val="center"/>
          </w:tcPr>
          <w:p>
            <w:pPr>
              <w:jc w:val="center"/>
              <w:rPr>
                <w:lang w:val="en-US"/>
              </w:rPr>
            </w:pPr>
            <w:r>
              <w:rPr>
                <w:lang w:val="en-US"/>
              </w:rPr>
              <w:t>1.97</w:t>
            </w:r>
          </w:p>
        </w:tc>
        <w:tc>
          <w:tcPr>
            <w:tcW w:w="1276" w:type="dxa"/>
            <w:shd w:val="clear" w:color="auto" w:fill="auto"/>
            <w:vAlign w:val="center"/>
          </w:tcPr>
          <w:p>
            <w:pPr>
              <w:jc w:val="center"/>
              <w:rPr>
                <w:lang w:val="en-US"/>
              </w:rPr>
            </w:pPr>
            <w:r>
              <w:rPr>
                <w:lang w:val="en-US"/>
              </w:rPr>
              <w:t>-1.33</w:t>
            </w:r>
          </w:p>
        </w:tc>
        <w:tc>
          <w:tcPr>
            <w:tcW w:w="1701" w:type="dxa"/>
            <w:shd w:val="clear" w:color="auto" w:fill="auto"/>
            <w:vAlign w:val="center"/>
          </w:tcPr>
          <w:p>
            <w:pPr>
              <w:jc w:val="center"/>
              <w:rPr>
                <w:lang w:val="en-US"/>
              </w:rPr>
            </w:pPr>
            <w:r>
              <w:rPr>
                <w:lang w:val="en-US"/>
              </w:rPr>
              <w:t>3.30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未命名(11ECF)</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未命名(11ED2)</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未命名(11EE7)</w:t>
            </w:r>
          </w:p>
        </w:tc>
        <w:tc>
          <w:tcPr>
            <w:tcW w:w="1276" w:type="dxa"/>
            <w:shd w:val="clear" w:color="auto" w:fill="auto"/>
            <w:vAlign w:val="center"/>
          </w:tcPr>
          <w:p>
            <w:pPr>
              <w:jc w:val="center"/>
              <w:rPr>
                <w:lang w:val="en-US"/>
              </w:rPr>
            </w:pPr>
            <w:r>
              <w:rPr>
                <w:lang w:val="en-US"/>
              </w:rPr>
              <w:t>3.16</w:t>
            </w:r>
          </w:p>
        </w:tc>
        <w:tc>
          <w:tcPr>
            <w:tcW w:w="1276" w:type="dxa"/>
            <w:shd w:val="clear" w:color="auto" w:fill="auto"/>
            <w:vAlign w:val="center"/>
          </w:tcPr>
          <w:p>
            <w:pPr>
              <w:jc w:val="center"/>
              <w:rPr>
                <w:lang w:val="en-US"/>
              </w:rPr>
            </w:pPr>
            <w:r>
              <w:rPr>
                <w:lang w:val="en-US"/>
              </w:rPr>
              <w:t>-1.56</w:t>
            </w:r>
          </w:p>
        </w:tc>
        <w:tc>
          <w:tcPr>
            <w:tcW w:w="1701" w:type="dxa"/>
            <w:shd w:val="clear" w:color="auto" w:fill="auto"/>
            <w:vAlign w:val="center"/>
          </w:tcPr>
          <w:p>
            <w:pPr>
              <w:jc w:val="center"/>
              <w:rPr>
                <w:lang w:val="en-US"/>
              </w:rPr>
            </w:pPr>
            <w:r>
              <w:rPr>
                <w:lang w:val="en-US"/>
              </w:rPr>
              <w:t>4.72</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未命名(14A1F)</w:t>
            </w:r>
          </w:p>
        </w:tc>
        <w:tc>
          <w:tcPr>
            <w:tcW w:w="1276" w:type="dxa"/>
            <w:shd w:val="clear" w:color="auto" w:fill="auto"/>
            <w:vAlign w:val="center"/>
          </w:tcPr>
          <w:p>
            <w:pPr>
              <w:jc w:val="center"/>
              <w:rPr>
                <w:lang w:val="en-US"/>
              </w:rPr>
            </w:pPr>
            <w:r>
              <w:rPr>
                <w:lang w:val="en-US"/>
              </w:rPr>
              <w:t>6.03</w:t>
            </w:r>
          </w:p>
        </w:tc>
        <w:tc>
          <w:tcPr>
            <w:tcW w:w="1276" w:type="dxa"/>
            <w:shd w:val="clear" w:color="auto" w:fill="auto"/>
            <w:vAlign w:val="center"/>
          </w:tcPr>
          <w:p>
            <w:pPr>
              <w:jc w:val="center"/>
              <w:rPr>
                <w:lang w:val="en-US"/>
              </w:rPr>
            </w:pPr>
            <w:r>
              <w:rPr>
                <w:lang w:val="en-US"/>
              </w:rPr>
              <w:t>-1.55</w:t>
            </w:r>
          </w:p>
        </w:tc>
        <w:tc>
          <w:tcPr>
            <w:tcW w:w="1701" w:type="dxa"/>
            <w:shd w:val="clear" w:color="auto" w:fill="auto"/>
            <w:vAlign w:val="center"/>
          </w:tcPr>
          <w:p>
            <w:pPr>
              <w:jc w:val="center"/>
              <w:rPr>
                <w:rFonts w:hint="default" w:eastAsia="宋体"/>
                <w:lang w:val="en-US" w:eastAsia="zh-CN"/>
              </w:rPr>
            </w:pPr>
            <w:r>
              <w:rPr>
                <w:rFonts w:hint="eastAsia"/>
                <w:color w:val="000000" w:themeColor="text1"/>
                <w:lang w:val="en-US" w:eastAsia="zh-CN"/>
                <w14:textFill>
                  <w14:solidFill>
                    <w14:schemeClr w14:val="tx1"/>
                  </w14:solidFill>
                </w14:textFill>
              </w:rPr>
              <w:t>4.98</w:t>
            </w:r>
          </w:p>
        </w:tc>
        <w:tc>
          <w:tcPr>
            <w:tcW w:w="973" w:type="dxa"/>
            <w:shd w:val="clear" w:color="auto" w:fill="auto"/>
            <w:vAlign w:val="center"/>
          </w:tcPr>
          <w:p>
            <w:pPr>
              <w:jc w:val="center"/>
              <w:rPr>
                <w:rFonts w:hint="eastAsia" w:eastAsia="宋体"/>
                <w:lang w:val="en-US" w:eastAsia="zh-CN"/>
              </w:rPr>
            </w:pPr>
            <w:r>
              <w:rPr>
                <w:rFonts w:hint="eastAsia"/>
                <w:color w:val="000000" w:themeColor="text1"/>
                <w:lang w:val="en-US" w:eastAsia="zh-CN"/>
                <w14:textFill>
                  <w14:solidFill>
                    <w14:schemeClr w14:val="tx1"/>
                  </w14:solidFill>
                </w14:textFill>
              </w:rPr>
              <w:t>是</w:t>
            </w:r>
          </w:p>
        </w:tc>
      </w:tr>
      <w:bookmarkEnd w:id="37"/>
      <w:bookmarkEnd w:id="38"/>
    </w:tbl>
    <w:p>
      <w:pPr>
        <w:rPr>
          <w:lang w:val="en-US"/>
        </w:rPr>
      </w:pPr>
      <w:r>
        <w:rPr>
          <w:lang w:val="en-US"/>
        </w:rPr>
        <w:t>结论：本项目中参评建筑未命名、未命名、未命名迎背风压差</w:t>
      </w:r>
      <w:r>
        <w:rPr>
          <w:rFonts w:hint="eastAsia"/>
          <w:b w:val="0"/>
          <w:bCs/>
          <w:color w:val="000000" w:themeColor="text1"/>
          <w:lang w:val="en-US" w:eastAsia="zh-CN"/>
          <w14:textFill>
            <w14:solidFill>
              <w14:schemeClr w14:val="tx1"/>
            </w14:solidFill>
          </w14:textFill>
        </w:rPr>
        <w:t>小于</w:t>
      </w:r>
      <w:r>
        <w:rPr>
          <w:lang w:val="en-US"/>
        </w:rPr>
        <w:t>5Pa，</w:t>
      </w:r>
      <w:r>
        <w:rPr>
          <w:b w:val="0"/>
          <w:bCs/>
          <w:color w:val="000000" w:themeColor="text1"/>
          <w:lang w:val="en-US"/>
          <w14:textFill>
            <w14:solidFill>
              <w14:schemeClr w14:val="tx1"/>
            </w14:solidFill>
          </w14:textFill>
        </w:rPr>
        <w:t>满足</w:t>
      </w:r>
      <w:r>
        <w:rPr>
          <w:lang w:val="en-US"/>
        </w:rPr>
        <w:t>“除迎风第一排建筑外，建筑迎风面与背风面表面风压差不超过5Pa”的要求，该条</w:t>
      </w:r>
      <w:r>
        <w:rPr>
          <w:b/>
          <w:color w:val="0000FF"/>
        </w:rPr>
        <w:t>达标</w:t>
      </w:r>
      <w:r>
        <w:rPr>
          <w:lang w:val="en-US"/>
        </w:rPr>
        <w:t>。</w:t>
      </w:r>
    </w:p>
    <w:p>
      <w:pPr>
        <w:rPr>
          <w:lang w:val="en-US"/>
        </w:rPr>
      </w:pPr>
      <w:bookmarkStart w:id="67" w:name="冬季工况"/>
      <w:bookmarkEnd w:id="67"/>
      <w:r>
        <w:rPr>
          <w:rFonts w:hint="eastAsia"/>
          <w:lang w:val="en-US"/>
        </w:rPr>
        <w:t xml:space="preserve"> </w:t>
      </w:r>
    </w:p>
    <w:p>
      <w:pPr>
        <w:rPr>
          <w:lang w:val="en-US"/>
        </w:rPr>
      </w:pPr>
      <w:bookmarkStart w:id="68" w:name="其他工况"/>
      <w:bookmarkEnd w:id="68"/>
      <w:r>
        <w:rPr>
          <w:rFonts w:hint="eastAsia"/>
          <w:lang w:val="en-US"/>
        </w:rPr>
        <w:t xml:space="preserve"> </w:t>
      </w:r>
    </w:p>
    <w:p>
      <w:pPr>
        <w:pStyle w:val="4"/>
      </w:pPr>
      <w:bookmarkStart w:id="69" w:name="_Toc509844764"/>
      <w:bookmarkStart w:id="70" w:name="_Toc7361"/>
      <w:r>
        <w:rPr>
          <w:rFonts w:hint="eastAsia"/>
        </w:rPr>
        <w:t>结论</w:t>
      </w:r>
      <w:bookmarkEnd w:id="69"/>
      <w:bookmarkEnd w:id="70"/>
    </w:p>
    <w:p>
      <w:pPr>
        <w:pStyle w:val="5"/>
      </w:pPr>
      <w:bookmarkStart w:id="71" w:name="_Toc25488"/>
      <w:r>
        <w:rPr>
          <w:rFonts w:hint="eastAsia"/>
        </w:rPr>
        <w:t>冬季工况达标判断</w:t>
      </w:r>
      <w:bookmarkEnd w:id="0"/>
      <w:bookmarkEnd w:id="1"/>
      <w:bookmarkEnd w:id="71"/>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得3分；</w:t>
            </w:r>
          </w:p>
        </w:tc>
        <w:tc>
          <w:tcPr>
            <w:tcW w:w="1985" w:type="dxa"/>
            <w:tcBorders>
              <w:top w:val="single" w:color="auto" w:sz="4" w:space="0"/>
            </w:tcBorders>
            <w:shd w:val="clear" w:color="auto" w:fill="auto"/>
            <w:vAlign w:val="center"/>
          </w:tcPr>
          <w:p>
            <w:pPr>
              <w:jc w:val="center"/>
              <w:rPr>
                <w:lang w:val="en-US"/>
              </w:rPr>
            </w:pPr>
            <w:r>
              <w:rPr>
                <w:rFonts w:hint="eastAsia"/>
                <w:lang w:val="en-US"/>
              </w:rPr>
              <w:t>人行区</w:t>
            </w:r>
            <w:r>
              <w:t>没有出现</w:t>
            </w:r>
            <w:bookmarkEnd w:id="2"/>
            <w:r>
              <w:rPr>
                <w:rFonts w:hint="eastAsia"/>
                <w:lang w:val="en-US"/>
              </w:rPr>
              <w:t>风速大于</w:t>
            </w:r>
            <w:r>
              <w:rPr>
                <w:lang w:val="en-US"/>
              </w:rPr>
              <w:t>5m/s</w:t>
            </w:r>
            <w:r>
              <w:rPr>
                <w:rFonts w:hint="eastAsia"/>
                <w:lang w:val="en-US"/>
              </w:rPr>
              <w:t>的区域，户外休息区、儿童娱乐区</w:t>
            </w:r>
            <w:r>
              <w:t>没有出现</w:t>
            </w:r>
            <w:bookmarkEnd w:id="3"/>
            <w:r>
              <w:rPr>
                <w:rFonts w:hint="eastAsia"/>
                <w:lang w:val="en-US"/>
              </w:rPr>
              <w:t>风速大于2m/s的区域</w:t>
            </w:r>
          </w:p>
          <w:bookmarkEnd w:id="4"/>
        </w:tc>
        <w:tc>
          <w:tcPr>
            <w:tcW w:w="1985" w:type="dxa"/>
            <w:vMerge w:val="restart"/>
            <w:tcBorders>
              <w:top w:val="single" w:color="auto" w:sz="4" w:space="0"/>
            </w:tcBorders>
            <w:shd w:val="clear" w:color="auto" w:fill="auto"/>
            <w:vAlign w:val="center"/>
          </w:tcPr>
          <w:p>
            <w:pPr>
              <w:jc w:val="center"/>
              <w:rPr>
                <w:b/>
                <w:lang w:val="en-US"/>
              </w:rPr>
            </w:pPr>
            <w:r>
              <w:rPr>
                <w:b/>
                <w:color w:val="0000FF"/>
              </w:rPr>
              <w:t>达标</w:t>
            </w:r>
          </w:p>
          <w:bookmarkEnd w:id="5"/>
        </w:tc>
        <w:tc>
          <w:tcPr>
            <w:tcW w:w="1416" w:type="dxa"/>
            <w:vMerge w:val="restart"/>
            <w:tcBorders>
              <w:top w:val="single" w:color="auto" w:sz="4" w:space="0"/>
            </w:tcBorders>
            <w:shd w:val="clear" w:color="auto" w:fill="auto"/>
            <w:vAlign w:val="center"/>
          </w:tcPr>
          <w:p>
            <w:pPr>
              <w:jc w:val="center"/>
              <w:rPr>
                <w:lang w:val="en-US"/>
              </w:rPr>
            </w:pPr>
            <w:r>
              <w:rPr>
                <w:rFonts w:hint="eastAsia"/>
                <w:lang w:val="en-US" w:eastAsia="zh-CN"/>
              </w:rPr>
              <w:t>2</w:t>
            </w:r>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人行区</w:t>
            </w:r>
            <w:r>
              <w:t>出现</w:t>
            </w:r>
            <w:bookmarkEnd w:id="6"/>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除迎风第一排建筑外，建筑迎风面与背风面表面风压差不超过5Pa，得2</w:t>
            </w:r>
            <w:bookmarkEnd w:id="7"/>
            <w:r>
              <w:rPr>
                <w:rFonts w:hint="eastAsia"/>
                <w:lang w:val="en-US"/>
              </w:rPr>
              <w:t>分</w:t>
            </w:r>
          </w:p>
        </w:tc>
        <w:tc>
          <w:tcPr>
            <w:tcW w:w="1985" w:type="dxa"/>
            <w:shd w:val="clear" w:color="auto" w:fill="auto"/>
            <w:vAlign w:val="center"/>
          </w:tcPr>
          <w:p>
            <w:pPr>
              <w:jc w:val="center"/>
              <w:rPr>
                <w:lang w:val="en-US"/>
              </w:rPr>
            </w:pPr>
            <w:r>
              <w:rPr>
                <w:rFonts w:hint="eastAsia"/>
                <w:lang w:val="en-US"/>
              </w:rPr>
              <w:t>本项目</w:t>
            </w:r>
            <w:r>
              <w:t>出现</w:t>
            </w:r>
            <w:bookmarkEnd w:id="32"/>
            <w:r>
              <w:rPr>
                <w:rFonts w:hint="eastAsia"/>
                <w:lang w:val="en-US"/>
              </w:rPr>
              <w:t>建筑迎风面与背风面表面风压差大于5Pa的建筑</w:t>
            </w:r>
          </w:p>
          <w:bookmarkEnd w:id="8"/>
        </w:tc>
        <w:tc>
          <w:tcPr>
            <w:tcW w:w="1985" w:type="dxa"/>
            <w:shd w:val="clear" w:color="auto" w:fill="auto"/>
            <w:vAlign w:val="center"/>
          </w:tcPr>
          <w:p>
            <w:pPr>
              <w:jc w:val="center"/>
              <w:rPr>
                <w:lang w:val="en-US"/>
              </w:rPr>
            </w:pPr>
            <w:r>
              <w:rPr>
                <w:b/>
                <w:color w:val="0000FF"/>
              </w:rPr>
              <w:t>达标</w:t>
            </w:r>
          </w:p>
          <w:bookmarkEnd w:id="10"/>
        </w:tc>
        <w:tc>
          <w:tcPr>
            <w:tcW w:w="1416" w:type="dxa"/>
            <w:shd w:val="clear" w:color="auto" w:fill="auto"/>
            <w:vAlign w:val="center"/>
          </w:tcPr>
          <w:p>
            <w:pPr>
              <w:jc w:val="center"/>
              <w:rPr>
                <w:lang w:val="en-US"/>
              </w:rPr>
            </w:pPr>
            <w:r>
              <w:rPr>
                <w:rFonts w:hint="eastAsia"/>
                <w:lang w:val="en-US" w:eastAsia="zh-CN"/>
              </w:rPr>
              <w:t>2</w:t>
            </w:r>
            <w:r>
              <w:rPr>
                <w:rFonts w:hint="eastAsia"/>
                <w:lang w:val="en-US"/>
              </w:rPr>
              <w:t>分</w:t>
            </w:r>
          </w:p>
        </w:tc>
      </w:tr>
      <w:bookmarkEnd w:id="11"/>
      <w:bookmarkEnd w:id="13"/>
    </w:tbl>
    <w:p>
      <w:pPr>
        <w:rPr>
          <w:szCs w:val="21"/>
          <w:lang w:val="en-US"/>
        </w:rPr>
      </w:pPr>
    </w:p>
    <w:p>
      <w:pPr>
        <w:pStyle w:val="3"/>
        <w:ind w:firstLine="0" w:firstLineChars="0"/>
        <w:rPr>
          <w:lang w:val="en-US"/>
        </w:rPr>
      </w:pPr>
      <w:r>
        <w:rPr>
          <w:rFonts w:hint="eastAsia"/>
          <w:lang w:val="en-US"/>
        </w:rPr>
        <w:t>综合上述达标判断详表的信息，可知本项目得分为</w:t>
      </w:r>
      <w:r>
        <w:rPr>
          <w:rFonts w:hint="eastAsia"/>
          <w:lang w:val="en-US" w:eastAsia="zh-CN"/>
        </w:rPr>
        <w:t>4</w:t>
      </w:r>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1915A3"/>
    <w:rsid w:val="00217F62"/>
    <w:rsid w:val="00A906D8"/>
    <w:rsid w:val="00AB5A74"/>
    <w:rsid w:val="00F071AE"/>
    <w:rsid w:val="0B3F5A22"/>
    <w:rsid w:val="5B56400A"/>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Char"/>
    <w:link w:val="2"/>
    <w:qFormat/>
    <w:uiPriority w:val="0"/>
    <w:rPr>
      <w:b/>
      <w:bCs/>
      <w:kern w:val="32"/>
      <w:sz w:val="28"/>
      <w:szCs w:val="28"/>
    </w:rPr>
  </w:style>
  <w:style w:type="character" w:customStyle="1" w:styleId="28">
    <w:name w:val="标题 2 Char"/>
    <w:link w:val="4"/>
    <w:qFormat/>
    <w:uiPriority w:val="0"/>
    <w:rPr>
      <w:rFonts w:ascii="宋体" w:cs="Arial"/>
      <w:b/>
      <w:bCs/>
      <w:iCs/>
      <w:color w:val="000000"/>
      <w:sz w:val="24"/>
      <w:szCs w:val="24"/>
    </w:rPr>
  </w:style>
  <w:style w:type="character" w:customStyle="1" w:styleId="29">
    <w:name w:val="页脚 Char"/>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qFormat/>
    <w:uiPriority w:val="0"/>
    <w:rPr>
      <w:rFonts w:ascii="宋体" w:hAnsi="宋体" w:cs="Arial"/>
      <w:b/>
      <w:bCs/>
      <w:sz w:val="21"/>
      <w:szCs w:val="21"/>
    </w:rPr>
  </w:style>
  <w:style w:type="character" w:customStyle="1" w:styleId="34">
    <w:name w:val="批注框文本 Char"/>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qFormat/>
    <w:uiPriority w:val="0"/>
    <w:rPr>
      <w:b/>
      <w:bCs/>
      <w:sz w:val="21"/>
      <w:szCs w:val="28"/>
      <w:lang w:val="en-GB"/>
    </w:rPr>
  </w:style>
  <w:style w:type="character" w:customStyle="1" w:styleId="38">
    <w:name w:val="标题 5 Char"/>
    <w:link w:val="7"/>
    <w:qFormat/>
    <w:uiPriority w:val="0"/>
    <w:rPr>
      <w:b/>
      <w:bCs/>
      <w:iCs/>
      <w:sz w:val="21"/>
      <w:szCs w:val="26"/>
      <w:lang w:val="en-GB"/>
    </w:rPr>
  </w:style>
  <w:style w:type="character" w:customStyle="1" w:styleId="39">
    <w:name w:val="标题 6 Char"/>
    <w:link w:val="8"/>
    <w:qFormat/>
    <w:uiPriority w:val="0"/>
    <w:rPr>
      <w:b/>
      <w:bCs/>
      <w:sz w:val="21"/>
      <w:szCs w:val="22"/>
      <w:lang w:val="en-GB"/>
    </w:rPr>
  </w:style>
  <w:style w:type="character" w:customStyle="1" w:styleId="40">
    <w:name w:val="标题 7 Char"/>
    <w:link w:val="9"/>
    <w:qFormat/>
    <w:uiPriority w:val="0"/>
    <w:rPr>
      <w:sz w:val="24"/>
      <w:szCs w:val="24"/>
      <w:lang w:val="en-GB"/>
    </w:rPr>
  </w:style>
  <w:style w:type="character" w:customStyle="1" w:styleId="41">
    <w:name w:val="标题 8 Char"/>
    <w:link w:val="10"/>
    <w:qFormat/>
    <w:uiPriority w:val="0"/>
    <w:rPr>
      <w:i/>
      <w:iCs/>
      <w:sz w:val="24"/>
      <w:szCs w:val="24"/>
      <w:lang w:val="en-GB"/>
    </w:rPr>
  </w:style>
  <w:style w:type="character" w:customStyle="1" w:styleId="42">
    <w:name w:val="标题 9 Char"/>
    <w:link w:val="11"/>
    <w:qFormat/>
    <w:uiPriority w:val="0"/>
    <w:rPr>
      <w:rFonts w:ascii="Arial" w:hAnsi="Arial" w:cs="Arial"/>
      <w:sz w:val="22"/>
      <w:szCs w:val="22"/>
      <w:lang w:val="en-GB"/>
    </w:rPr>
  </w:style>
  <w:style w:type="character" w:customStyle="1" w:styleId="43">
    <w:name w:val="页眉 Char"/>
    <w:link w:val="18"/>
    <w:qFormat/>
    <w:uiPriority w:val="0"/>
    <w:rPr>
      <w:sz w:val="21"/>
      <w:szCs w:val="18"/>
      <w:lang w:val="en-GB"/>
    </w:rPr>
  </w:style>
  <w:style w:type="character" w:customStyle="1" w:styleId="44">
    <w:name w:val="文档结构图 Char"/>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7" Type="http://schemas.openxmlformats.org/officeDocument/2006/relationships/fontTable" Target="fontTable.xml"/><Relationship Id="rId76" Type="http://schemas.openxmlformats.org/officeDocument/2006/relationships/customXml" Target="../customXml/item2.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png"/><Relationship Id="rId67" Type="http://schemas.openxmlformats.org/officeDocument/2006/relationships/image" Target="media/image53.wmf"/><Relationship Id="rId66" Type="http://schemas.openxmlformats.org/officeDocument/2006/relationships/oleObject" Target="embeddings/oleObject7.bin"/><Relationship Id="rId65" Type="http://schemas.openxmlformats.org/officeDocument/2006/relationships/image" Target="media/image52.wmf"/><Relationship Id="rId64" Type="http://schemas.openxmlformats.org/officeDocument/2006/relationships/oleObject" Target="embeddings/oleObject6.bin"/><Relationship Id="rId63" Type="http://schemas.openxmlformats.org/officeDocument/2006/relationships/image" Target="media/image51.wmf"/><Relationship Id="rId62" Type="http://schemas.openxmlformats.org/officeDocument/2006/relationships/oleObject" Target="embeddings/oleObject5.bin"/><Relationship Id="rId61" Type="http://schemas.openxmlformats.org/officeDocument/2006/relationships/image" Target="media/image50.wmf"/><Relationship Id="rId60" Type="http://schemas.openxmlformats.org/officeDocument/2006/relationships/oleObject" Target="embeddings/oleObject4.bin"/><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wmf"/><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04F88-87BB-429C-B5FB-EE09E69A1663}">
  <ds:schemaRefs/>
</ds:datastoreItem>
</file>

<file path=docProps/app.xml><?xml version="1.0" encoding="utf-8"?>
<Properties xmlns="http://schemas.openxmlformats.org/officeDocument/2006/extended-properties" xmlns:vt="http://schemas.openxmlformats.org/officeDocument/2006/docPropsVTypes">
  <Template>室外风环境模拟分析报告2019.dotx</Template>
  <Company>ths</Company>
  <Pages>12</Pages>
  <Words>2638</Words>
  <Characters>3113</Characters>
  <Lines>259</Lines>
  <Paragraphs>273</Paragraphs>
  <TotalTime>0</TotalTime>
  <ScaleCrop>false</ScaleCrop>
  <LinksUpToDate>false</LinksUpToDate>
  <CharactersWithSpaces>5478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2018-04-09T01:52:00Z</dcterms:created>
  <dc:creator>lilikui</dc:creator>
  <cp:lastModifiedBy>RUISI </cp:lastModifiedBy>
  <cp:lastPrinted>1900-12-31T16:00:00Z</cp:lastPrinted>
  <dcterms:modified xsi:type="dcterms:W3CDTF">2022-01-06T14:39:14Z</dcterms:modified>
  <dc:title>室外风环境模拟分析报告</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4AFDFF686466440CA19298ED0618C470</vt:lpwstr>
  </property>
</Properties>
</file>