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</w:p>
    <w:p>
      <w:pPr>
        <w:pStyle w:val="2"/>
        <w:jc w:val="center"/>
      </w:pPr>
      <w:r>
        <w:rPr>
          <w:rFonts w:hint="eastAsia"/>
        </w:rPr>
        <w:t>人均</w:t>
      </w:r>
      <w:r>
        <w:t>公共绿地计算书</w:t>
      </w:r>
    </w:p>
    <w:p>
      <w:pPr>
        <w:rPr>
          <w:kern w:val="44"/>
          <w:sz w:val="44"/>
          <w:szCs w:val="44"/>
        </w:rPr>
      </w:pPr>
      <w:r>
        <w:br w:type="page"/>
      </w:r>
    </w:p>
    <w:p>
      <w:pPr>
        <w:pStyle w:val="3"/>
      </w:pPr>
    </w:p>
    <w:p>
      <w:pPr>
        <w:pStyle w:val="3"/>
        <w:rPr>
          <w:b w:val="0"/>
          <w:u w:val="single"/>
        </w:rPr>
      </w:pPr>
      <w:r>
        <w:rPr>
          <w:rFonts w:hint="eastAsia"/>
        </w:rPr>
        <w:t>项目名称</w:t>
      </w:r>
      <w:r>
        <w:t>：</w:t>
      </w:r>
      <w:r>
        <w:rPr>
          <w:b w:val="0"/>
          <w:u w:val="single"/>
        </w:rPr>
        <w:t xml:space="preserve">   </w:t>
      </w:r>
      <w:r>
        <w:rPr>
          <w:rFonts w:hint="eastAsia"/>
          <w:b w:val="0"/>
          <w:u w:val="single"/>
          <w:lang w:val="en-US" w:eastAsia="zh-CN"/>
        </w:rPr>
        <w:t>绿意·风起·宅生---绿色社区设计</w:t>
      </w:r>
      <w:r>
        <w:rPr>
          <w:b w:val="0"/>
          <w:u w:val="single"/>
        </w:rPr>
        <w:t xml:space="preserve">                                 </w:t>
      </w:r>
    </w:p>
    <w:p>
      <w:pPr>
        <w:pStyle w:val="3"/>
      </w:pPr>
      <w:r>
        <w:rPr>
          <w:rFonts w:hint="eastAsia"/>
        </w:rPr>
        <w:t>对标条文：</w:t>
      </w:r>
    </w:p>
    <w:p>
      <w:pPr>
        <w:ind w:firstLine="405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8.2.3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充分利用场地空间设置绿化用地，评价总分值为16分，并按下列规则评分：</w:t>
      </w:r>
    </w:p>
    <w:p>
      <w:pPr>
        <w:ind w:left="405" w:firstLine="420"/>
        <w:rPr>
          <w:rFonts w:asciiTheme="minorEastAsia" w:hAnsiTheme="minorEastAsia"/>
          <w:sz w:val="24"/>
          <w:szCs w:val="24"/>
          <w:shd w:val="clear" w:color="auto" w:fill="FFFFFF"/>
        </w:rPr>
      </w:pPr>
      <w:r>
        <w:rPr>
          <w:rFonts w:asciiTheme="minorEastAsia" w:hAnsiTheme="minorEastAsia"/>
          <w:b/>
          <w:bCs/>
          <w:sz w:val="24"/>
          <w:szCs w:val="24"/>
          <w:shd w:val="clear" w:color="auto" w:fill="FFFFFF"/>
        </w:rPr>
        <w:t>2)</w:t>
      </w:r>
      <w:r>
        <w:rPr>
          <w:rFonts w:asciiTheme="minorEastAsia" w:hAnsiTheme="minorEastAsia"/>
          <w:sz w:val="24"/>
          <w:szCs w:val="24"/>
          <w:shd w:val="clear" w:color="auto" w:fill="FFFFFF"/>
        </w:rPr>
        <w:t> 住宅建筑所在居住街坊内人均集中绿地面积，按表8.2.3的规则评分，最高得6 分。</w:t>
      </w:r>
    </w:p>
    <w:p>
      <w:pPr>
        <w:widowControl/>
        <w:ind w:left="2100" w:firstLine="42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Arial Narrow" w:hAnsi="Arial Narrow" w:eastAsia="宋体" w:cs="宋体"/>
          <w:b/>
          <w:bCs/>
          <w:kern w:val="0"/>
          <w:szCs w:val="21"/>
          <w:shd w:val="clear" w:color="auto" w:fill="FFFFFF"/>
        </w:rPr>
        <w:t>表8.2.3   住宅人均集中绿地面积评分规则</w:t>
      </w:r>
    </w:p>
    <w:tbl>
      <w:tblPr>
        <w:tblStyle w:val="7"/>
        <w:tblW w:w="83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394"/>
        <w:gridCol w:w="3119"/>
        <w:gridCol w:w="184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513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住宅人均集中绿地面积A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（m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perscript"/>
              </w:rPr>
              <w:t>2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/人）</w:t>
            </w:r>
          </w:p>
        </w:tc>
        <w:tc>
          <w:tcPr>
            <w:tcW w:w="184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得分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新区建设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旧区改建</w:t>
            </w:r>
          </w:p>
        </w:tc>
        <w:tc>
          <w:tcPr>
            <w:tcW w:w="184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Arial Narrow" w:hAnsi="Arial Narrow" w:eastAsia="宋体" w:cs="宋体"/>
                <w:kern w:val="0"/>
                <w:szCs w:val="21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0.50＜A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0.35＜A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＜0.45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4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3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≥0.60</w:t>
            </w:r>
          </w:p>
        </w:tc>
        <w:tc>
          <w:tcPr>
            <w:tcW w:w="311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A</w:t>
            </w:r>
            <w:r>
              <w:rPr>
                <w:rFonts w:ascii="Arial Narrow" w:hAnsi="Arial Narrow" w:eastAsia="宋体" w:cs="宋体"/>
                <w:kern w:val="0"/>
                <w:szCs w:val="21"/>
                <w:vertAlign w:val="subscript"/>
              </w:rPr>
              <w:t>g</w:t>
            </w:r>
            <w:r>
              <w:rPr>
                <w:rFonts w:ascii="Arial Narrow" w:hAnsi="Arial Narrow" w:eastAsia="宋体" w:cs="宋体"/>
                <w:kern w:val="0"/>
                <w:szCs w:val="21"/>
              </w:rPr>
              <w:t>≥0.45</w:t>
            </w:r>
          </w:p>
        </w:tc>
        <w:tc>
          <w:tcPr>
            <w:tcW w:w="184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center"/>
              <w:rPr>
                <w:rFonts w:ascii="Arial Narrow" w:hAnsi="Arial Narrow" w:eastAsia="宋体" w:cs="宋体"/>
                <w:kern w:val="0"/>
                <w:szCs w:val="21"/>
              </w:rPr>
            </w:pPr>
            <w:r>
              <w:rPr>
                <w:rFonts w:ascii="Arial Narrow" w:hAnsi="Arial Narrow" w:eastAsia="宋体" w:cs="宋体"/>
                <w:kern w:val="0"/>
                <w:szCs w:val="21"/>
              </w:rPr>
              <w:t>6</w:t>
            </w:r>
          </w:p>
        </w:tc>
      </w:tr>
    </w:tbl>
    <w:p>
      <w:pPr>
        <w:ind w:firstLine="405"/>
      </w:pPr>
    </w:p>
    <w:p>
      <w:pPr>
        <w:pStyle w:val="3"/>
      </w:pPr>
      <w:r>
        <w:rPr>
          <w:rFonts w:hint="eastAsia"/>
        </w:rPr>
        <w:t>项目概况</w:t>
      </w:r>
      <w:r>
        <w:t>：</w:t>
      </w:r>
    </w:p>
    <w:p>
      <w:r>
        <w:tab/>
      </w:r>
      <w:r>
        <w:rPr>
          <w:rFonts w:hint="eastAsia"/>
        </w:rPr>
        <w:t>项目</w:t>
      </w:r>
      <w:r>
        <w:t>位于</w:t>
      </w:r>
      <w:r>
        <w:rPr>
          <w:rFonts w:hint="eastAsia"/>
          <w:lang w:val="en-US" w:eastAsia="zh-CN"/>
        </w:rPr>
        <w:t>武汉市莲湖路</w:t>
      </w:r>
      <w:r>
        <w:rPr>
          <w:rFonts w:hint="eastAsia"/>
        </w:rPr>
        <w:t>。</w:t>
      </w:r>
      <w:r>
        <w:t>该项目</w:t>
      </w:r>
      <w:r>
        <w:rPr>
          <w:rFonts w:hint="eastAsia"/>
        </w:rPr>
        <w:t>总用地</w:t>
      </w:r>
      <w:r>
        <w:t>面积为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54672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，建筑面积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113312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平方米</w:t>
      </w:r>
      <w:r>
        <w:t>，总户数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>1000</w:t>
      </w:r>
      <w:r>
        <w:rPr>
          <w:rFonts w:hint="eastAsia"/>
        </w:rPr>
        <w:t>，</w:t>
      </w:r>
      <w:r>
        <w:t>总人数</w:t>
      </w:r>
      <w:r>
        <w:rPr>
          <w:rFonts w:hint="eastAsia"/>
          <w:lang w:val="en-US" w:eastAsia="zh-CN"/>
        </w:rPr>
        <w:t>3600</w:t>
      </w:r>
      <w:r>
        <w:rPr>
          <w:rFonts w:hint="eastAsia"/>
          <w:u w:val="single"/>
        </w:rPr>
        <w:t xml:space="preserve"> </w:t>
      </w:r>
      <w:r>
        <w:rPr>
          <w:rFonts w:hint="eastAsia"/>
        </w:rPr>
        <w:t>人</w:t>
      </w:r>
      <w:r>
        <w:t>，绿地率为</w:t>
      </w:r>
      <w:r>
        <w:rPr>
          <w:rFonts w:hint="eastAsia"/>
          <w:u w:val="single"/>
        </w:rPr>
        <w:t xml:space="preserve"> 30</w:t>
      </w:r>
      <w:r>
        <w:rPr>
          <w:u w:val="single"/>
        </w:rPr>
        <w:t xml:space="preserve">% 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.</w:t>
      </w:r>
    </w:p>
    <w:p/>
    <w:p>
      <w:pPr>
        <w:pStyle w:val="3"/>
      </w:pPr>
      <w:r>
        <w:rPr>
          <w:rFonts w:hint="eastAsia"/>
        </w:rPr>
        <w:t>人均集中绿地面积计算</w:t>
      </w:r>
      <w:r>
        <w:t>：</w:t>
      </w:r>
    </w:p>
    <w:p>
      <w:pPr>
        <w:rPr>
          <w:rFonts w:hint="eastAsia"/>
        </w:rPr>
      </w:pPr>
      <w:r>
        <w:tab/>
      </w:r>
      <w:r>
        <w:rPr>
          <w:rFonts w:hint="eastAsia"/>
        </w:rPr>
        <w:t>根据</w:t>
      </w:r>
      <w:r>
        <w:t>总图及景观图纸等，本醒目满足公共绿地要求的绿地面积为</w:t>
      </w:r>
      <w:r>
        <w:rPr>
          <w:rFonts w:hint="eastAsia"/>
          <w:lang w:val="en-US" w:eastAsia="zh-CN"/>
        </w:rPr>
        <w:t>6500</w:t>
      </w:r>
      <w:r>
        <w:rPr>
          <w:rFonts w:hint="eastAsia"/>
        </w:rPr>
        <w:t>㎡</w:t>
      </w:r>
      <w:r>
        <w:t>。</w:t>
      </w:r>
    </w:p>
    <w:p/>
    <w:p>
      <w:pPr>
        <w:ind w:firstLine="420"/>
        <w:rPr>
          <w:rFonts w:hint="eastAsia" w:eastAsiaTheme="minorEastAsia"/>
          <w:lang w:val="en-US" w:eastAsia="zh-CN"/>
        </w:rPr>
      </w:pPr>
      <w:r>
        <w:rPr>
          <w:rFonts w:ascii="Arial Narrow" w:hAnsi="Arial Narrow" w:eastAsia="宋体" w:cs="宋体"/>
          <w:kern w:val="0"/>
          <w:szCs w:val="21"/>
        </w:rPr>
        <w:t>住宅人均集中绿地面积A</w:t>
      </w:r>
      <w:r>
        <w:rPr>
          <w:rFonts w:ascii="Arial Narrow" w:hAnsi="Arial Narrow" w:eastAsia="宋体" w:cs="宋体"/>
          <w:kern w:val="0"/>
          <w:szCs w:val="21"/>
          <w:vertAlign w:val="subscript"/>
        </w:rPr>
        <w:t xml:space="preserve">g  </w:t>
      </w:r>
      <w:r>
        <w:t xml:space="preserve">= </w:t>
      </w:r>
      <w:r>
        <w:rPr>
          <w:rFonts w:hint="eastAsia"/>
          <w:lang w:val="en-US" w:eastAsia="zh-CN"/>
        </w:rPr>
        <w:t>6500</w:t>
      </w:r>
      <w:r>
        <w:t xml:space="preserve"> / </w:t>
      </w:r>
      <w:r>
        <w:rPr>
          <w:rFonts w:hint="eastAsia"/>
          <w:lang w:val="en-US" w:eastAsia="zh-CN"/>
        </w:rPr>
        <w:t>3600</w:t>
      </w:r>
      <w:r>
        <w:t>=1.</w:t>
      </w:r>
      <w:r>
        <w:rPr>
          <w:rFonts w:hint="eastAsia"/>
          <w:lang w:val="en-US" w:eastAsia="zh-CN"/>
        </w:rPr>
        <w:t>8</w:t>
      </w:r>
    </w:p>
    <w:p>
      <w:pPr>
        <w:ind w:firstLine="420"/>
      </w:pPr>
    </w:p>
    <w:p>
      <w:pPr>
        <w:pStyle w:val="3"/>
      </w:pPr>
      <w:r>
        <w:rPr>
          <w:rFonts w:hint="eastAsia"/>
        </w:rPr>
        <w:t>结论</w:t>
      </w:r>
      <w:r>
        <w:t>：</w:t>
      </w:r>
      <w:bookmarkStart w:id="0" w:name="_GoBack"/>
      <w:bookmarkEnd w:id="0"/>
    </w:p>
    <w:p>
      <w:pPr>
        <w:ind w:firstLine="420"/>
        <w:rPr>
          <w:rFonts w:hint="eastAsia"/>
        </w:rPr>
      </w:pPr>
      <w:r>
        <w:rPr>
          <w:rFonts w:hint="eastAsia"/>
        </w:rPr>
        <w:t>本项目</w:t>
      </w:r>
      <w:r>
        <w:rPr>
          <w:rFonts w:ascii="Arial Narrow" w:hAnsi="Arial Narrow" w:eastAsia="宋体" w:cs="宋体"/>
          <w:kern w:val="0"/>
          <w:szCs w:val="21"/>
        </w:rPr>
        <w:t>住宅人均集中绿地面积</w:t>
      </w:r>
      <w:r>
        <w:rPr>
          <w:rFonts w:hint="eastAsia" w:ascii="Arial Narrow" w:hAnsi="Arial Narrow" w:eastAsia="宋体" w:cs="宋体"/>
          <w:kern w:val="0"/>
          <w:szCs w:val="21"/>
        </w:rPr>
        <w:t>为1.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8</w:t>
      </w:r>
      <w:r>
        <w:rPr>
          <w:rFonts w:hint="eastAsia" w:ascii="Arial Narrow" w:hAnsi="Arial Narrow" w:eastAsia="宋体" w:cs="宋体"/>
          <w:kern w:val="0"/>
          <w:szCs w:val="21"/>
        </w:rPr>
        <w:t>㎡</w:t>
      </w:r>
      <w:r>
        <w:rPr>
          <w:rFonts w:ascii="Arial Narrow" w:hAnsi="Arial Narrow" w:eastAsia="宋体" w:cs="宋体"/>
          <w:kern w:val="0"/>
          <w:szCs w:val="21"/>
        </w:rPr>
        <w:t>，满足《</w:t>
      </w:r>
      <w:r>
        <w:rPr>
          <w:rFonts w:hint="eastAsia" w:ascii="Arial Narrow" w:hAnsi="Arial Narrow" w:eastAsia="宋体" w:cs="宋体"/>
          <w:kern w:val="0"/>
          <w:szCs w:val="21"/>
        </w:rPr>
        <w:t>绿色建筑</w:t>
      </w:r>
      <w:r>
        <w:rPr>
          <w:rFonts w:ascii="Arial Narrow" w:hAnsi="Arial Narrow" w:eastAsia="宋体" w:cs="宋体"/>
          <w:kern w:val="0"/>
          <w:szCs w:val="21"/>
        </w:rPr>
        <w:t>评价标准》</w:t>
      </w:r>
      <w:r>
        <w:rPr>
          <w:rFonts w:hint="eastAsia" w:ascii="Arial Narrow" w:hAnsi="Arial Narrow" w:eastAsia="宋体" w:cs="宋体"/>
          <w:kern w:val="0"/>
          <w:szCs w:val="21"/>
        </w:rPr>
        <w:t>GB/T</w:t>
      </w:r>
      <w:r>
        <w:rPr>
          <w:rFonts w:ascii="Arial Narrow" w:hAnsi="Arial Narrow" w:eastAsia="宋体" w:cs="宋体"/>
          <w:kern w:val="0"/>
          <w:szCs w:val="21"/>
        </w:rPr>
        <w:t xml:space="preserve">50378-2019 </w:t>
      </w:r>
      <w:r>
        <w:rPr>
          <w:rFonts w:hint="eastAsia" w:ascii="Arial Narrow" w:hAnsi="Arial Narrow" w:eastAsia="宋体" w:cs="宋体"/>
          <w:kern w:val="0"/>
          <w:szCs w:val="21"/>
        </w:rPr>
        <w:t>第 8.2.3条</w:t>
      </w:r>
      <w:r>
        <w:rPr>
          <w:rFonts w:ascii="Arial Narrow" w:hAnsi="Arial Narrow" w:eastAsia="宋体" w:cs="宋体"/>
          <w:kern w:val="0"/>
          <w:szCs w:val="21"/>
        </w:rPr>
        <w:t>的要求，得</w:t>
      </w:r>
      <w:r>
        <w:rPr>
          <w:rFonts w:hint="eastAsia" w:ascii="Arial Narrow" w:hAnsi="Arial Narrow" w:eastAsia="宋体" w:cs="宋体"/>
          <w:kern w:val="0"/>
          <w:szCs w:val="21"/>
          <w:lang w:val="en-US" w:eastAsia="zh-CN"/>
        </w:rPr>
        <w:t>1</w:t>
      </w:r>
      <w:r>
        <w:rPr>
          <w:rFonts w:hint="eastAsia" w:ascii="Arial Narrow" w:hAnsi="Arial Narrow" w:eastAsia="宋体" w:cs="宋体"/>
          <w:kern w:val="0"/>
          <w:szCs w:val="21"/>
        </w:rPr>
        <w:t>6分</w:t>
      </w:r>
      <w:r>
        <w:rPr>
          <w:rFonts w:ascii="Arial Narrow" w:hAnsi="Arial Narrow" w:eastAsia="宋体" w:cs="宋体"/>
          <w:kern w:val="0"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8F"/>
    <w:rsid w:val="004E628F"/>
    <w:rsid w:val="005456E8"/>
    <w:rsid w:val="0081682C"/>
    <w:rsid w:val="00E94094"/>
    <w:rsid w:val="00FD5F26"/>
    <w:rsid w:val="65135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link w:val="12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副标题 Char"/>
    <w:basedOn w:val="8"/>
    <w:link w:val="6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3">
    <w:name w:val="Subtle Emphasis"/>
    <w:basedOn w:val="8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4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310</Words>
  <Characters>397</Characters>
  <Lines>3</Lines>
  <Paragraphs>1</Paragraphs>
  <TotalTime>18</TotalTime>
  <ScaleCrop>false</ScaleCrop>
  <LinksUpToDate>false</LinksUpToDate>
  <CharactersWithSpaces>459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2020-01-10T08:20:00Z</dcterms:created>
  <dc:creator>dongYP</dc:creator>
  <cp:lastModifiedBy>(,,•́ . •̀,,)</cp:lastModifiedBy>
  <dcterms:modified xsi:type="dcterms:W3CDTF">2022-03-12T15:36:28Z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CD97C89D4B5849828B691A477DC8247D</vt:lpwstr>
  </property>
</Properties>
</file>