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10"/>
        <w:rPr>
          <w:rFonts w:ascii="Times New Roman" w:hAnsi="Times New Roman" w:eastAsia="Times New Roman" w:cs="Times New Roman"/>
          <w:sz w:val="18"/>
          <w:szCs w:val="18"/>
        </w:rPr>
      </w:pPr>
    </w:p>
    <w:p>
      <w:pPr>
        <w:pStyle w:val="2"/>
        <w:jc w:val="center"/>
        <w:rPr>
          <w:rFonts w:hint="eastAsia" w:ascii="Times New Roman" w:hAnsi="Times New Roman" w:eastAsiaTheme="minorEastAsia"/>
          <w:sz w:val="36"/>
          <w:szCs w:val="36"/>
          <w:lang w:eastAsia="zh-CN"/>
        </w:rPr>
        <w:sectPr>
          <w:type w:val="continuous"/>
          <w:pgSz w:w="11910" w:h="16850"/>
          <w:pgMar w:top="1600" w:right="1680" w:bottom="280" w:left="1680" w:header="720" w:footer="720" w:gutter="0"/>
          <w:cols w:space="720" w:num="1"/>
        </w:sectPr>
      </w:pPr>
      <w:r>
        <w:rPr>
          <w:rFonts w:ascii="Times New Roman" w:hAnsi="Times New Roman"/>
          <w:sz w:val="36"/>
          <w:szCs w:val="36"/>
          <w:lang w:eastAsia="zh-CN"/>
        </w:rPr>
        <w:t>可变换功能空间采用灵活隔断的比例计算书</w:t>
      </w:r>
    </w:p>
    <w:p>
      <w:pPr>
        <w:pStyle w:val="2"/>
        <w:rPr>
          <w:rFonts w:ascii="Times New Roman" w:hAnsi="Times New Roman" w:eastAsiaTheme="minorEastAsia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  <w:lang w:eastAsia="zh-CN"/>
        </w:rPr>
        <w:t>1.</w:t>
      </w:r>
      <w:r>
        <w:rPr>
          <w:rFonts w:hint="eastAsia" w:ascii="Times New Roman" w:hAnsi="Times New Roman"/>
          <w:sz w:val="32"/>
          <w:szCs w:val="32"/>
          <w:lang w:eastAsia="zh-CN"/>
        </w:rPr>
        <w:t>计算概述</w:t>
      </w:r>
    </w:p>
    <w:p>
      <w:pPr>
        <w:pStyle w:val="2"/>
        <w:rPr>
          <w:rFonts w:hint="eastAsia" w:ascii="Times New Roman" w:hAnsi="Times New Roman" w:cs="Times New Roman" w:eastAsiaTheme="minorEastAsia"/>
          <w:lang w:eastAsia="zh-CN"/>
        </w:rPr>
      </w:pPr>
    </w:p>
    <w:p>
      <w:pPr>
        <w:tabs>
          <w:tab w:val="left" w:pos="605"/>
        </w:tabs>
        <w:rPr>
          <w:rStyle w:val="7"/>
          <w:rFonts w:ascii="Times New Roman" w:hAnsi="Times New Roman"/>
          <w:sz w:val="28"/>
          <w:szCs w:val="28"/>
        </w:rPr>
      </w:pPr>
      <w:r>
        <w:rPr>
          <w:rStyle w:val="7"/>
          <w:rFonts w:hint="eastAsia" w:ascii="Times New Roman" w:hAnsi="Times New Roman"/>
          <w:sz w:val="28"/>
          <w:szCs w:val="28"/>
          <w:lang w:eastAsia="zh-CN"/>
        </w:rPr>
        <w:t>1.1.项目概况</w:t>
      </w:r>
    </w:p>
    <w:p>
      <w:pPr>
        <w:tabs>
          <w:tab w:val="left" w:pos="605"/>
        </w:tabs>
        <w:rPr>
          <w:rFonts w:hint="eastAsia" w:ascii="Times New Roman" w:hAnsi="Times New Roman" w:eastAsia="Times New Roman" w:cs="Times New Roman"/>
          <w:sz w:val="20"/>
          <w:szCs w:val="20"/>
          <w:lang w:eastAsia="zh-CN"/>
        </w:rPr>
      </w:pPr>
    </w:p>
    <w:p>
      <w:pPr>
        <w:tabs>
          <w:tab w:val="left" w:pos="605"/>
        </w:tabs>
        <w:spacing w:line="360" w:lineRule="auto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hint="eastAsia" w:ascii="Times New Roman" w:hAnsi="Times New Roman" w:cs="宋体"/>
          <w:sz w:val="21"/>
          <w:szCs w:val="21"/>
          <w:lang w:eastAsia="zh-CN"/>
        </w:rPr>
        <w:t>此项目用地为四块方形用地，总用地面积54672平方米，建筑规模113312平方米，功能以住宅为主，包含部分办公及商业配套。随着经济的迅猛发展，城市快速扩张，高楼林立，中国传统合院的空间形式在现代城市高密度发展下逐渐迷失，同时在十四五倡导的双碳、节能驱使下，传统居建已经不能满足未来绿色设计要求，城市化也使得人们与自然的距离越来越遥远。在这样的背景下，我们方案设计从追溯到畅想，从传统走向未来，以传统合院空间为切入点，以廊坊为连通空间的设计要素，运用被动式节能的设计理念，结合当下节能技术手段，在社区营造中以满足现代人的生活需求、精神需求为出发点，设计了一个“有序、复合、可持续发展”的空间网格，营造富有活力的绿色“人情交织”社区，四邻为里。于坊巷间生情愫，于草木间归自然。</w:t>
      </w:r>
      <w:bookmarkStart w:id="0" w:name="_GoBack"/>
      <w:bookmarkEnd w:id="0"/>
    </w:p>
    <w:p>
      <w:pPr>
        <w:tabs>
          <w:tab w:val="left" w:pos="605"/>
        </w:tabs>
        <w:rPr>
          <w:rStyle w:val="7"/>
          <w:rFonts w:ascii="Times New Roman" w:hAnsi="Times New Roman"/>
          <w:sz w:val="28"/>
          <w:szCs w:val="28"/>
          <w:lang w:eastAsia="zh-CN"/>
        </w:rPr>
      </w:pPr>
      <w:r>
        <w:rPr>
          <w:rStyle w:val="7"/>
          <w:rFonts w:ascii="Times New Roman" w:hAnsi="Times New Roman"/>
          <w:sz w:val="28"/>
          <w:szCs w:val="28"/>
          <w:lang w:eastAsia="zh-CN"/>
        </w:rPr>
        <w:t>1.2.计算目的</w:t>
      </w:r>
    </w:p>
    <w:p>
      <w:pPr>
        <w:tabs>
          <w:tab w:val="left" w:pos="605"/>
        </w:tabs>
        <w:rPr>
          <w:rStyle w:val="7"/>
          <w:rFonts w:hint="eastAsia" w:ascii="Times New Roman" w:hAnsi="Times New Roman"/>
          <w:sz w:val="28"/>
          <w:szCs w:val="28"/>
          <w:lang w:eastAsia="zh-CN"/>
        </w:rPr>
      </w:pPr>
    </w:p>
    <w:p>
      <w:pPr>
        <w:tabs>
          <w:tab w:val="left" w:pos="290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ascii="Times New Roman" w:hAnsi="Times New Roman" w:cs="宋体"/>
          <w:sz w:val="21"/>
          <w:szCs w:val="21"/>
          <w:lang w:eastAsia="zh-CN"/>
        </w:rPr>
        <w:t>判断本项目是否满足《绿色建筑评价标准》GB/T50378-2019第4.2.6条“采取提升建筑适变性的措施”。</w:t>
      </w:r>
    </w:p>
    <w:p>
      <w:pPr>
        <w:tabs>
          <w:tab w:val="left" w:pos="290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</w:p>
    <w:p>
      <w:pPr>
        <w:tabs>
          <w:tab w:val="left" w:pos="605"/>
        </w:tabs>
        <w:rPr>
          <w:rStyle w:val="7"/>
          <w:rFonts w:ascii="Times New Roman" w:hAnsi="Times New Roman"/>
          <w:sz w:val="28"/>
          <w:szCs w:val="28"/>
          <w:lang w:eastAsia="zh-CN"/>
        </w:rPr>
      </w:pPr>
      <w:r>
        <w:rPr>
          <w:rStyle w:val="7"/>
          <w:rFonts w:ascii="Times New Roman" w:hAnsi="Times New Roman"/>
          <w:sz w:val="28"/>
          <w:szCs w:val="28"/>
          <w:lang w:eastAsia="zh-CN"/>
        </w:rPr>
        <w:t>1.3.计算依据</w:t>
      </w:r>
    </w:p>
    <w:p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ascii="Times New Roman" w:hAnsi="Times New Roman" w:cs="宋体"/>
          <w:sz w:val="21"/>
          <w:szCs w:val="21"/>
          <w:lang w:eastAsia="zh-CN"/>
        </w:rPr>
        <w:t>《绿色建筑评价技术细则》</w:t>
      </w:r>
    </w:p>
    <w:p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ascii="Times New Roman" w:hAnsi="Times New Roman" w:cs="宋体"/>
          <w:sz w:val="21"/>
          <w:szCs w:val="21"/>
          <w:lang w:eastAsia="zh-CN"/>
        </w:rPr>
        <w:t>《绿色建筑评价技术细则补充说明》（规划设计部分）</w:t>
      </w:r>
    </w:p>
    <w:p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ascii="Times New Roman" w:hAnsi="Times New Roman" w:cs="宋体"/>
          <w:sz w:val="21"/>
          <w:szCs w:val="21"/>
          <w:lang w:eastAsia="zh-CN"/>
        </w:rPr>
        <w:t>业主提供的建筑设计文件</w:t>
      </w:r>
    </w:p>
    <w:p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</w:p>
    <w:p>
      <w:pPr>
        <w:pStyle w:val="2"/>
        <w:rPr>
          <w:rFonts w:ascii="Times New Roman" w:hAnsi="Times New Roman" w:cs="Times New Roman" w:eastAsiaTheme="minorEastAsia"/>
          <w:sz w:val="32"/>
          <w:szCs w:val="32"/>
          <w:lang w:eastAsia="zh-CN"/>
        </w:rPr>
      </w:pPr>
      <w:r>
        <w:rPr>
          <w:rFonts w:ascii="Times New Roman" w:hAnsi="Times New Roman" w:cs="Times New Roman"/>
          <w:sz w:val="32"/>
          <w:szCs w:val="32"/>
          <w:lang w:eastAsia="zh-CN"/>
        </w:rPr>
        <w:t>2.计算分析</w:t>
      </w:r>
    </w:p>
    <w:p>
      <w:pPr>
        <w:pStyle w:val="2"/>
        <w:rPr>
          <w:rFonts w:hint="eastAsia" w:ascii="Times New Roman" w:hAnsi="Times New Roman" w:cs="Times New Roman" w:eastAsiaTheme="minorEastAsia"/>
          <w:sz w:val="32"/>
          <w:szCs w:val="32"/>
          <w:lang w:eastAsia="zh-CN"/>
        </w:rPr>
      </w:pPr>
    </w:p>
    <w:p>
      <w:pPr>
        <w:tabs>
          <w:tab w:val="left" w:pos="605"/>
        </w:tabs>
        <w:rPr>
          <w:rStyle w:val="7"/>
          <w:rFonts w:ascii="Times New Roman" w:hAnsi="Times New Roman"/>
          <w:sz w:val="28"/>
          <w:szCs w:val="28"/>
          <w:lang w:eastAsia="zh-CN"/>
        </w:rPr>
      </w:pPr>
      <w:r>
        <w:rPr>
          <w:rStyle w:val="7"/>
          <w:rFonts w:ascii="Times New Roman" w:hAnsi="Times New Roman"/>
          <w:sz w:val="28"/>
          <w:szCs w:val="28"/>
          <w:lang w:eastAsia="zh-CN"/>
        </w:rPr>
        <w:t>2.1.可变换功能的室内空间</w:t>
      </w:r>
    </w:p>
    <w:p>
      <w:pPr>
        <w:tabs>
          <w:tab w:val="left" w:pos="605"/>
        </w:tabs>
        <w:rPr>
          <w:rStyle w:val="7"/>
          <w:rFonts w:hint="eastAsia" w:ascii="Times New Roman" w:hAnsi="Times New Roman"/>
          <w:sz w:val="28"/>
          <w:szCs w:val="28"/>
          <w:lang w:eastAsia="zh-CN"/>
        </w:rPr>
      </w:pPr>
    </w:p>
    <w:p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hint="eastAsia" w:ascii="Times New Roman" w:hAnsi="Times New Roman" w:cs="宋体"/>
          <w:sz w:val="21"/>
          <w:szCs w:val="21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520700</wp:posOffset>
                </wp:positionV>
                <wp:extent cx="1356995" cy="161925"/>
                <wp:effectExtent l="635" t="4445" r="13970" b="16510"/>
                <wp:wrapNone/>
                <wp:docPr id="1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6995" cy="1619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32" type="#_x0000_t32" style="position:absolute;left:0pt;margin-left:7.45pt;margin-top:41pt;height:12.75pt;width:106.85pt;z-index:251659264;mso-width-relative:page;mso-height-relative:page;" filled="f" stroked="t" coordsize="21600,21600" o:gfxdata="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DFK+tHWAAAACQEAAA8AAAAAAAAAAQAgAAAAIgAAAGRycy9kb3ducmV2LnhtbFBL&#10;AQIUABQAAAAIAIdO4kAD/X7o+AEAAOgDAAAOAAAAAAAAAAEAIAAAACU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cs="宋体"/>
          <w:sz w:val="21"/>
          <w:szCs w:val="21"/>
          <w:lang w:eastAsia="zh-CN"/>
        </w:rPr>
        <w:t>可变换功能的室内空间为总建筑面积减去不可改变功能的室内空间（如走廊、楼梯、电梯井、卫生间、设备用房、公共管井等），本项目此类区域面积如下表。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709"/>
        <w:gridCol w:w="709"/>
        <w:gridCol w:w="709"/>
        <w:gridCol w:w="850"/>
        <w:gridCol w:w="851"/>
        <w:gridCol w:w="708"/>
        <w:gridCol w:w="851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127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</w:p>
        </w:tc>
        <w:tc>
          <w:tcPr>
            <w:tcW w:w="709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14层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15层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16层</w:t>
            </w:r>
          </w:p>
        </w:tc>
        <w:tc>
          <w:tcPr>
            <w:tcW w:w="850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17层</w:t>
            </w:r>
          </w:p>
        </w:tc>
        <w:tc>
          <w:tcPr>
            <w:tcW w:w="851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18层</w:t>
            </w:r>
          </w:p>
        </w:tc>
        <w:tc>
          <w:tcPr>
            <w:tcW w:w="708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19层</w:t>
            </w:r>
          </w:p>
        </w:tc>
        <w:tc>
          <w:tcPr>
            <w:tcW w:w="851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20层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建筑面积</w:t>
            </w: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㎡</w:t>
            </w: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1396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1396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1396</w:t>
            </w:r>
          </w:p>
        </w:tc>
        <w:tc>
          <w:tcPr>
            <w:tcW w:w="850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1396</w:t>
            </w:r>
          </w:p>
        </w:tc>
        <w:tc>
          <w:tcPr>
            <w:tcW w:w="851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1396</w:t>
            </w:r>
          </w:p>
        </w:tc>
        <w:tc>
          <w:tcPr>
            <w:tcW w:w="708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1396</w:t>
            </w:r>
          </w:p>
        </w:tc>
        <w:tc>
          <w:tcPr>
            <w:tcW w:w="851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1396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1396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不可变换</w:t>
            </w: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功能空间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(㎡)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420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420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420</w:t>
            </w:r>
          </w:p>
        </w:tc>
        <w:tc>
          <w:tcPr>
            <w:tcW w:w="850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420</w:t>
            </w:r>
          </w:p>
        </w:tc>
        <w:tc>
          <w:tcPr>
            <w:tcW w:w="851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420</w:t>
            </w:r>
          </w:p>
        </w:tc>
        <w:tc>
          <w:tcPr>
            <w:tcW w:w="708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420</w:t>
            </w:r>
          </w:p>
        </w:tc>
        <w:tc>
          <w:tcPr>
            <w:tcW w:w="851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420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420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可变换</w:t>
            </w: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功能空间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(㎡)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976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976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976</w:t>
            </w:r>
          </w:p>
        </w:tc>
        <w:tc>
          <w:tcPr>
            <w:tcW w:w="850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976</w:t>
            </w:r>
          </w:p>
        </w:tc>
        <w:tc>
          <w:tcPr>
            <w:tcW w:w="851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976</w:t>
            </w:r>
          </w:p>
        </w:tc>
        <w:tc>
          <w:tcPr>
            <w:tcW w:w="708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976</w:t>
            </w:r>
          </w:p>
        </w:tc>
        <w:tc>
          <w:tcPr>
            <w:tcW w:w="851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976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976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5" w:type="dxa"/>
            <w:gridSpan w:val="3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可变换</w:t>
            </w: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功能空间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总计(㎡)</w:t>
            </w:r>
          </w:p>
        </w:tc>
        <w:tc>
          <w:tcPr>
            <w:tcW w:w="4678" w:type="dxa"/>
            <w:gridSpan w:val="6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7808</w:t>
            </w:r>
          </w:p>
        </w:tc>
      </w:tr>
    </w:tbl>
    <w:p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</w:p>
    <w:p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</w:p>
    <w:p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</w:p>
    <w:p>
      <w:pPr>
        <w:tabs>
          <w:tab w:val="left" w:pos="605"/>
        </w:tabs>
        <w:rPr>
          <w:rStyle w:val="7"/>
          <w:rFonts w:ascii="Times New Roman" w:hAnsi="Times New Roman"/>
          <w:sz w:val="28"/>
          <w:szCs w:val="28"/>
          <w:lang w:eastAsia="zh-CN"/>
        </w:rPr>
      </w:pPr>
      <w:r>
        <w:rPr>
          <w:rStyle w:val="7"/>
          <w:rFonts w:ascii="Times New Roman" w:hAnsi="Times New Roman"/>
          <w:sz w:val="28"/>
          <w:szCs w:val="28"/>
          <w:lang w:eastAsia="zh-CN"/>
        </w:rPr>
        <w:t>2.2.灵活隔断的室内空间</w:t>
      </w:r>
    </w:p>
    <w:p>
      <w:pPr>
        <w:tabs>
          <w:tab w:val="left" w:pos="605"/>
        </w:tabs>
        <w:rPr>
          <w:rStyle w:val="7"/>
          <w:rFonts w:hint="eastAsia" w:ascii="Times New Roman" w:hAnsi="Times New Roman"/>
          <w:sz w:val="28"/>
          <w:szCs w:val="28"/>
          <w:lang w:eastAsia="zh-CN"/>
        </w:rPr>
      </w:pPr>
    </w:p>
    <w:p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ascii="Times New Roman" w:hAnsi="Times New Roman" w:cs="宋体"/>
          <w:sz w:val="21"/>
          <w:szCs w:val="21"/>
          <w:lang w:eastAsia="zh-CN"/>
        </w:rPr>
        <w:t>本项目布置了较多的大开间敞开式办公，部分办公室和会议室必须隔断时，采用玻璃隔断。采用灵活隔断的统计面积如下表。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709"/>
        <w:gridCol w:w="851"/>
        <w:gridCol w:w="708"/>
        <w:gridCol w:w="709"/>
        <w:gridCol w:w="709"/>
        <w:gridCol w:w="709"/>
        <w:gridCol w:w="708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3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楼号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14层</w:t>
            </w:r>
          </w:p>
        </w:tc>
        <w:tc>
          <w:tcPr>
            <w:tcW w:w="851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15层</w:t>
            </w:r>
          </w:p>
        </w:tc>
        <w:tc>
          <w:tcPr>
            <w:tcW w:w="708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16层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17层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18层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19层</w:t>
            </w:r>
          </w:p>
        </w:tc>
        <w:tc>
          <w:tcPr>
            <w:tcW w:w="708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20层</w:t>
            </w:r>
          </w:p>
        </w:tc>
        <w:tc>
          <w:tcPr>
            <w:tcW w:w="720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3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采用</w:t>
            </w: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灵活隔断的面积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(㎡)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851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771</w:t>
            </w:r>
          </w:p>
        </w:tc>
        <w:tc>
          <w:tcPr>
            <w:tcW w:w="708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771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771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771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771</w:t>
            </w:r>
          </w:p>
        </w:tc>
        <w:tc>
          <w:tcPr>
            <w:tcW w:w="708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771</w:t>
            </w:r>
          </w:p>
        </w:tc>
        <w:tc>
          <w:tcPr>
            <w:tcW w:w="720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771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3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合计(㎡)</w:t>
            </w:r>
          </w:p>
        </w:tc>
        <w:tc>
          <w:tcPr>
            <w:tcW w:w="5823" w:type="dxa"/>
            <w:gridSpan w:val="8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5397</w:t>
            </w:r>
          </w:p>
        </w:tc>
      </w:tr>
    </w:tbl>
    <w:p>
      <w:pPr>
        <w:tabs>
          <w:tab w:val="left" w:pos="605"/>
        </w:tabs>
        <w:rPr>
          <w:rStyle w:val="7"/>
          <w:rFonts w:ascii="Times New Roman" w:hAnsi="Times New Roman"/>
          <w:sz w:val="28"/>
          <w:szCs w:val="28"/>
          <w:lang w:eastAsia="zh-CN"/>
        </w:rPr>
      </w:pPr>
    </w:p>
    <w:p>
      <w:pPr>
        <w:tabs>
          <w:tab w:val="left" w:pos="605"/>
        </w:tabs>
        <w:rPr>
          <w:rStyle w:val="7"/>
          <w:rFonts w:ascii="Times New Roman" w:hAnsi="Times New Roman"/>
          <w:sz w:val="28"/>
          <w:szCs w:val="28"/>
          <w:lang w:eastAsia="zh-CN"/>
        </w:rPr>
      </w:pPr>
      <w:r>
        <w:rPr>
          <w:rStyle w:val="7"/>
          <w:rFonts w:ascii="Times New Roman" w:hAnsi="Times New Roman"/>
          <w:sz w:val="28"/>
          <w:szCs w:val="28"/>
          <w:lang w:eastAsia="zh-CN"/>
        </w:rPr>
        <w:t>2.3.灵活隔断的面积比例</w:t>
      </w:r>
    </w:p>
    <w:p>
      <w:pPr>
        <w:tabs>
          <w:tab w:val="left" w:pos="605"/>
        </w:tabs>
        <w:rPr>
          <w:rStyle w:val="7"/>
          <w:rFonts w:hint="eastAsia" w:ascii="Times New Roman" w:hAnsi="Times New Roman"/>
          <w:sz w:val="28"/>
          <w:szCs w:val="28"/>
          <w:lang w:eastAsia="zh-CN"/>
        </w:rPr>
      </w:pPr>
    </w:p>
    <w:p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ascii="Times New Roman" w:hAnsi="Times New Roman" w:cs="宋体"/>
          <w:sz w:val="21"/>
          <w:szCs w:val="21"/>
          <w:lang w:eastAsia="zh-CN"/>
        </w:rPr>
        <w:t>灵活隔断的面积比例=5397/7808×100%=69.1%；</w:t>
      </w:r>
    </w:p>
    <w:p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ascii="Times New Roman" w:hAnsi="Times New Roman" w:cs="宋体"/>
          <w:sz w:val="21"/>
          <w:szCs w:val="21"/>
          <w:lang w:eastAsia="zh-CN"/>
        </w:rPr>
        <w:t>非灵活隔断的面积比例=1-69.1%=30.9%。</w:t>
      </w:r>
    </w:p>
    <w:p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</w:p>
    <w:p>
      <w:pPr>
        <w:pStyle w:val="2"/>
        <w:rPr>
          <w:rFonts w:ascii="Times New Roman" w:hAnsi="Times New Roman" w:cs="Times New Roman" w:eastAsiaTheme="minorEastAsia"/>
          <w:sz w:val="32"/>
          <w:szCs w:val="32"/>
          <w:lang w:eastAsia="zh-CN"/>
        </w:rPr>
      </w:pPr>
      <w:r>
        <w:rPr>
          <w:rFonts w:ascii="Times New Roman" w:hAnsi="Times New Roman" w:cs="Times New Roman"/>
          <w:sz w:val="32"/>
          <w:szCs w:val="32"/>
          <w:lang w:eastAsia="zh-CN"/>
        </w:rPr>
        <w:t>3.结论</w:t>
      </w:r>
    </w:p>
    <w:p>
      <w:pPr>
        <w:pStyle w:val="2"/>
        <w:rPr>
          <w:rFonts w:hint="eastAsia" w:ascii="Times New Roman" w:hAnsi="Times New Roman" w:cs="Times New Roman" w:eastAsiaTheme="minorEastAsia"/>
          <w:sz w:val="32"/>
          <w:szCs w:val="32"/>
          <w:lang w:eastAsia="zh-CN"/>
        </w:rPr>
      </w:pPr>
    </w:p>
    <w:p>
      <w:pPr>
        <w:tabs>
          <w:tab w:val="left" w:pos="605"/>
        </w:tabs>
        <w:spacing w:line="360" w:lineRule="auto"/>
        <w:ind w:firstLine="420" w:firstLineChars="200"/>
        <w:rPr>
          <w:rFonts w:hint="eastAsia" w:ascii="Times New Roman" w:hAnsi="Times New Roman" w:cs="宋体"/>
          <w:sz w:val="21"/>
          <w:szCs w:val="21"/>
          <w:lang w:eastAsia="zh-CN"/>
        </w:rPr>
      </w:pPr>
      <w:r>
        <w:rPr>
          <w:rFonts w:ascii="Times New Roman" w:hAnsi="Times New Roman" w:cs="宋体"/>
          <w:sz w:val="21"/>
          <w:szCs w:val="21"/>
          <w:lang w:eastAsia="zh-CN"/>
        </w:rPr>
        <w:t>针对《绿色建筑评价标准》GB50378-2019的第4.2.6</w:t>
      </w:r>
      <w:r>
        <w:rPr>
          <w:rFonts w:hint="eastAsia" w:ascii="Times New Roman" w:hAnsi="Times New Roman" w:cs="宋体"/>
          <w:sz w:val="21"/>
          <w:szCs w:val="21"/>
          <w:lang w:eastAsia="zh-CN"/>
        </w:rPr>
        <w:t>条</w:t>
      </w:r>
      <w:r>
        <w:rPr>
          <w:rFonts w:ascii="Times New Roman" w:hAnsi="Times New Roman" w:cs="宋体"/>
          <w:sz w:val="21"/>
          <w:szCs w:val="21"/>
          <w:lang w:eastAsia="zh-CN"/>
        </w:rPr>
        <w:t>“采取提升建筑适变性的措施，评价总分值为18分”</w:t>
      </w:r>
      <w:r>
        <w:rPr>
          <w:rFonts w:hint="eastAsia" w:ascii="Times New Roman" w:hAnsi="Times New Roman" w:cs="宋体"/>
          <w:sz w:val="21"/>
          <w:szCs w:val="21"/>
          <w:lang w:eastAsia="zh-CN"/>
        </w:rPr>
        <w:t>，</w:t>
      </w:r>
      <w:r>
        <w:rPr>
          <w:rFonts w:ascii="Times New Roman" w:hAnsi="Times New Roman" w:cs="宋体"/>
          <w:sz w:val="21"/>
          <w:szCs w:val="21"/>
          <w:lang w:eastAsia="zh-CN"/>
        </w:rPr>
        <w:t>满足第一点“采取通用开放、灵活可变的使用空间设计，或采取建筑使用功能可变措施，得7分”。该评分项可得7分。</w:t>
      </w:r>
    </w:p>
    <w:sectPr>
      <w:pgSz w:w="11910" w:h="16850"/>
      <w:pgMar w:top="1480" w:right="168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oNotDisplayPageBoundaries w:val="1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C34"/>
    <w:rsid w:val="00022519"/>
    <w:rsid w:val="00897ADE"/>
    <w:rsid w:val="00900B4A"/>
    <w:rsid w:val="00E40C34"/>
    <w:rsid w:val="3798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outlineLvl w:val="0"/>
    </w:pPr>
    <w:rPr>
      <w:rFonts w:ascii="Microsoft JhengHei" w:hAnsi="Microsoft JhengHei" w:eastAsia="Microsoft JhengHei"/>
      <w:b/>
      <w:bCs/>
      <w:sz w:val="28"/>
      <w:szCs w:val="28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8"/>
      <w:ind w:left="120"/>
    </w:pPr>
    <w:rPr>
      <w:rFonts w:ascii="宋体" w:hAnsi="宋体" w:eastAsia="宋体"/>
      <w:sz w:val="23"/>
      <w:szCs w:val="23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  <w:bCs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BC3A2E-A9D9-4CEE-89E0-DF0EBB613C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813</Words>
  <Characters>1046</Characters>
  <Lines>8</Lines>
  <Paragraphs>2</Paragraphs>
  <TotalTime>28</TotalTime>
  <ScaleCrop>false</ScaleCrop>
  <LinksUpToDate>false</LinksUpToDate>
  <CharactersWithSpaces>1046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2020-01-09T09:42:00Z</dcterms:created>
  <dc:creator>金晶</dc:creator>
  <cp:lastModifiedBy>(,,•́ . •̀,,)</cp:lastModifiedBy>
  <dcterms:modified xsi:type="dcterms:W3CDTF">2022-03-12T15:46:17Z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2017-10-09T00:00:00Z</vt:filetime>
  </property>
  <property fmtid="{D5CDD505-2E9C-101B-9397-08002B2CF9AE}" pid="3" name="LastSaved">
    <vt:filetime>2020-01-09T00:00:00Z</vt:filetime>
  </property>
  <property fmtid="{D5CDD505-2E9C-101B-9397-08002B2CF9AE}" pid="4" name="KSOProductBuildVer">
    <vt:lpwstr>2052-11.1.0.11365</vt:lpwstr>
  </property>
  <property fmtid="{D5CDD505-2E9C-101B-9397-08002B2CF9AE}" pid="5" name="ICV">
    <vt:lpwstr>538684298B144B9AA57309E6309AC5A2</vt:lpwstr>
  </property>
</Properties>
</file>