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绿意 风起 宅生——绿色社区住宅设计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BK714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西安科技大学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西安科技大学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崔创国 陈均基 张琳悦</w:t>
            </w:r>
            <w:bookmarkStart w:id="104" w:name="_GoBack"/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2022年1月6日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S0764BC1C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_Toc14626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_Toc15383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_Toc15383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_Toc23260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_Toc23260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_Toc6035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_Toc6035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_Toc9867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_Toc20879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_Toc20879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_Toc8402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_Toc3583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_Toc7665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_Toc5657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_Toc5657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_Toc28203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_Toc23353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_Toc7218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_Toc24410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_Toc26809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_Toc28682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_Toc28682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_Toc23549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_Toc23549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_Toc3548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_Toc3548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_Toc25800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_Toc25800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_Toc29019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_Toc21203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_Toc21203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_Toc10056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_Toc10056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_Toc21503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碳汇</w:t>
      </w:r>
      <w:r>
        <w:tab/>
      </w:r>
      <w:r>
        <w:fldChar w:fldCharType="begin"/>
      </w:r>
      <w:r>
        <w:instrText xml:space="preserve"> PAGEREF _Toc21503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建筑运行碳排放</w:t>
      </w:r>
      <w:r>
        <w:tab/>
      </w:r>
      <w:r>
        <w:fldChar w:fldCharType="begin"/>
      </w:r>
      <w:r>
        <w:instrText xml:space="preserve"> PAGEREF _Toc20868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全生命周期</w:t>
      </w:r>
      <w:r>
        <w:tab/>
      </w:r>
      <w:r>
        <w:fldChar w:fldCharType="begin"/>
      </w:r>
      <w:r>
        <w:instrText xml:space="preserve"> PAGEREF _Toc2089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_Toc26635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_Toc26635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_Toc18600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_Toc18600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_Toc17145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_Toc26811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_Toc15811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462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湖北-武汉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30.58°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114.24°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13680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68.0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41041.23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6171.61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15383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《夏热冬冷地区居住建筑节能设计标准》（JGJ 134-2010）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3260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6035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9867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湖北-武汉, 《建筑节能气象参数标准》</w:t>
      </w:r>
    </w:p>
    <w:p>
      <w:pPr>
        <w:pStyle w:val="4"/>
      </w:pPr>
      <w:bookmarkStart w:id="43" w:name="_Toc14780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20879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840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07月03日14时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20.5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01月15日02时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3.6</w:t>
            </w:r>
          </w:p>
        </w:tc>
      </w:tr>
    </w:tbl>
    <w:p>
      <w:pPr>
        <w:pStyle w:val="2"/>
        <w:widowControl w:val="0"/>
        <w:jc w:val="both"/>
      </w:pPr>
      <w:bookmarkStart w:id="48" w:name="_Toc3583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6152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51" w:name="凸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7665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5657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jc w:val="both"/>
      </w:pPr>
      <w:bookmarkStart w:id="54" w:name="_Toc28203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18884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23353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12197.25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2827"/>
      <w:r>
        <w:t>制冷系统</w:t>
      </w:r>
      <w:bookmarkEnd w:id="57"/>
    </w:p>
    <w:p>
      <w:pPr>
        <w:pStyle w:val="4"/>
        <w:widowControl w:val="0"/>
        <w:jc w:val="both"/>
      </w:pPr>
      <w:bookmarkStart w:id="58" w:name="_Toc7218"/>
      <w:r>
        <w:t>供暖系统</w:t>
      </w:r>
      <w:bookmarkEnd w:id="58"/>
    </w:p>
    <w:p>
      <w:pPr>
        <w:pStyle w:val="5"/>
        <w:widowControl w:val="0"/>
        <w:jc w:val="both"/>
      </w:pPr>
      <w:bookmarkStart w:id="59" w:name="_Toc24410"/>
      <w:r>
        <w:t>热泵系统</w:t>
      </w:r>
      <w:bookmarkEnd w:id="59"/>
    </w:p>
    <w:p>
      <w:pPr>
        <w:pStyle w:val="6"/>
        <w:widowControl w:val="0"/>
        <w:jc w:val="both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6"/>
        <w:widowControl w:val="0"/>
        <w:jc w:val="both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94925</w:t>
            </w:r>
          </w:p>
        </w:tc>
        <w:tc>
          <w:tcPr>
            <w:vAlign w:val="center"/>
          </w:tcPr>
          <w:p>
            <w:r>
              <w:t>1907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23731</w:t>
            </w:r>
          </w:p>
        </w:tc>
        <w:tc>
          <w:tcPr>
            <w:vAlign w:val="center"/>
          </w:tcPr>
          <w:p>
            <w:r>
              <w:t>71703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200726</w:t>
            </w:r>
          </w:p>
        </w:tc>
        <w:tc>
          <w:tcPr>
            <w:vAlign w:val="center"/>
          </w:tcPr>
          <w:p>
            <w:r>
              <w:t>1142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50182</w:t>
            </w:r>
          </w:p>
        </w:tc>
        <w:tc>
          <w:tcPr>
            <w:vAlign w:val="center"/>
          </w:tcPr>
          <w:p>
            <w:r>
              <w:t>42939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40789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10197</w:t>
            </w:r>
          </w:p>
        </w:tc>
        <w:tc>
          <w:tcPr>
            <w:vAlign w:val="center"/>
          </w:tcPr>
          <w:p>
            <w:r>
              <w:t>5414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336439</w:t>
            </w:r>
          </w:p>
        </w:tc>
        <w:tc>
          <w:tcPr>
            <w:vAlign w:val="center"/>
          </w:tcPr>
          <w:p>
            <w:r>
              <w:t>3193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84110</w:t>
            </w:r>
          </w:p>
        </w:tc>
        <w:tc>
          <w:tcPr>
            <w:vAlign w:val="center"/>
          </w:tcPr>
          <w:p>
            <w:r>
              <w:t>120057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84110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2211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120057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5367</w:t>
            </w:r>
          </w:p>
        </w:tc>
      </w:tr>
    </w:tbl>
    <w:p/>
    <w:p>
      <w:pPr>
        <w:pStyle w:val="4"/>
        <w:widowControl w:val="0"/>
        <w:jc w:val="both"/>
      </w:pPr>
      <w:bookmarkStart w:id="60" w:name="_Toc26809"/>
      <w:r>
        <w:t>空调风机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152579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4011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3086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4092</w:t>
            </w:r>
          </w:p>
        </w:tc>
      </w:tr>
    </w:tbl>
    <w:p>
      <w:pPr>
        <w:pStyle w:val="2"/>
        <w:widowControl w:val="0"/>
        <w:jc w:val="both"/>
      </w:pPr>
      <w:bookmarkStart w:id="61" w:name="_Toc28682"/>
      <w:r>
        <w:t>照明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780</w:t>
            </w:r>
          </w:p>
        </w:tc>
        <w:tc>
          <w:tcPr>
            <w:vAlign w:val="center"/>
          </w:tcPr>
          <w:p>
            <w:r>
              <w:t>13440</w:t>
            </w:r>
          </w:p>
        </w:tc>
        <w:tc>
          <w:tcPr>
            <w:vAlign w:val="center"/>
          </w:tcPr>
          <w:p>
            <w:r>
              <w:t>68676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1805</w:t>
            </w:r>
          </w:p>
        </w:tc>
      </w:tr>
    </w:tbl>
    <w:p>
      <w:pPr>
        <w:pStyle w:val="2"/>
        <w:widowControl w:val="0"/>
        <w:jc w:val="both"/>
      </w:pPr>
      <w:bookmarkStart w:id="62" w:name="_Toc23549"/>
      <w:r>
        <w:t>插座设备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780</w:t>
            </w:r>
          </w:p>
        </w:tc>
        <w:tc>
          <w:tcPr>
            <w:vAlign w:val="center"/>
          </w:tcPr>
          <w:p>
            <w:r>
              <w:t>13440</w:t>
            </w:r>
          </w:p>
        </w:tc>
        <w:tc>
          <w:tcPr>
            <w:vAlign w:val="center"/>
          </w:tcPr>
          <w:p>
            <w:r>
              <w:t>506243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13307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13307</w:t>
            </w:r>
          </w:p>
        </w:tc>
      </w:tr>
    </w:tbl>
    <w:p>
      <w:pPr>
        <w:pStyle w:val="2"/>
        <w:widowControl w:val="0"/>
        <w:jc w:val="both"/>
      </w:pPr>
      <w:bookmarkStart w:id="63" w:name="_Toc3548"/>
      <w:r>
        <w:t>排风机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4" w:name="_Toc25800"/>
      <w:r>
        <w:t>生活热水</w:t>
      </w:r>
      <w:bookmarkEnd w:id="64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3560.08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3560.08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3560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3560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3560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3560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187</w:t>
            </w:r>
          </w:p>
        </w:tc>
      </w:tr>
    </w:tbl>
    <w:p/>
    <w:p>
      <w:pPr>
        <w:pStyle w:val="2"/>
        <w:widowControl w:val="0"/>
        <w:jc w:val="both"/>
      </w:pPr>
      <w:bookmarkStart w:id="65" w:name="_Toc29019"/>
      <w:r>
        <w:t>电梯</w:t>
      </w:r>
      <w:bookmarkEnd w:id="65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66" w:name="_Toc21203"/>
      <w:r>
        <w:t>光伏发电</w:t>
      </w:r>
      <w:bookmarkEnd w:id="66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190851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5017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5017</w:t>
            </w:r>
          </w:p>
        </w:tc>
      </w:tr>
    </w:tbl>
    <w:p>
      <w:pPr>
        <w:pStyle w:val="2"/>
        <w:widowControl w:val="0"/>
        <w:jc w:val="both"/>
      </w:pPr>
      <w:bookmarkStart w:id="67" w:name="_Toc10056"/>
      <w:r>
        <w:t>计算结果</w:t>
      </w:r>
      <w:bookmarkEnd w:id="67"/>
    </w:p>
    <w:p>
      <w:pPr>
        <w:pStyle w:val="4"/>
        <w:widowControl w:val="0"/>
        <w:jc w:val="both"/>
      </w:pPr>
      <w:bookmarkStart w:id="68" w:name="_Toc21503"/>
      <w:r>
        <w:t>碳汇</w:t>
      </w:r>
      <w:bookmarkEnd w:id="68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366</w:t>
            </w:r>
          </w:p>
        </w:tc>
      </w:tr>
    </w:tbl>
    <w:p>
      <w:pPr>
        <w:pStyle w:val="4"/>
        <w:widowControl w:val="0"/>
        <w:jc w:val="both"/>
      </w:pPr>
      <w:bookmarkStart w:id="69" w:name="_Toc20868"/>
      <w:r>
        <w:t>建筑运行碳排放</w:t>
      </w:r>
      <w:bookmarkEnd w:id="6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307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5367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162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439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231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746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392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558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4092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569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299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251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1805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132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1850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13307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973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0" w:name="动力系统能耗"/>
            <w:r>
              <w:rPr>
                <w:rFonts w:hint="eastAsia"/>
                <w:lang w:val="en-US"/>
              </w:rPr>
              <w:t>0</w:t>
            </w:r>
            <w:bookmarkEnd w:id="70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1" w:name="电力CO2排放因子6"/>
            <w:r>
              <w:t>0.5257</w:t>
            </w:r>
            <w:bookmarkEnd w:id="7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2" w:name="其他能耗_电耗CO2排放"/>
            <w:r>
              <w:t>0</w:t>
            </w:r>
            <w:bookmarkEnd w:id="7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动力系统能耗_电耗CO2排放平米"/>
            <w:r>
              <w:t>0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4" w:name="排风机能耗"/>
            <w:r>
              <w:rPr>
                <w:rFonts w:hint="eastAsia"/>
                <w:lang w:val="en-US"/>
              </w:rPr>
              <w:t>0</w:t>
            </w:r>
            <w:bookmarkEnd w:id="7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排风机能耗_电耗CO2排放平米"/>
            <w:r>
              <w:t>0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热水系统能耗"/>
            <w:r>
              <w:rPr>
                <w:rFonts w:hint="eastAsia"/>
                <w:lang w:val="en-US"/>
              </w:rPr>
              <w:t>0</w:t>
            </w:r>
            <w:bookmarkEnd w:id="7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热水系统能耗_电耗CO2排放平米"/>
            <w:r>
              <w:t>0</w:t>
            </w:r>
            <w:bookmarkEnd w:id="77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其他能耗"/>
            <w:r>
              <w:rPr>
                <w:rFonts w:hint="eastAsia"/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其他能耗_电耗CO2排放平米"/>
            <w:r>
              <w:t>0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热源能耗_燃料类型"/>
            <w:r>
              <w:t>无</w:t>
            </w:r>
            <w:bookmarkEnd w:id="80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源锅炉能耗"/>
            <w:r>
              <w:rPr>
                <w:rFonts w:hint="eastAsia"/>
                <w:lang w:val="en-US"/>
              </w:rPr>
              <w:t>0</w:t>
            </w:r>
            <w:bookmarkEnd w:id="81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源能耗_燃料CO2排放因子"/>
            <w:r>
              <w:t>0</w:t>
            </w:r>
            <w:bookmarkEnd w:id="82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源能耗锅炉碳排放"/>
            <w:r>
              <w:t>0</w:t>
            </w:r>
            <w:bookmarkEnd w:id="83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源能耗锅炉碳排放平米"/>
            <w:r>
              <w:t>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太阳能能耗"/>
            <w:r>
              <w:rPr>
                <w:rFonts w:hint="eastAsia"/>
                <w:lang w:val="en-US"/>
              </w:rPr>
              <w:t>13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7"/>
            <w:r>
              <w:t>0.5257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可再生能源能耗_电耗CO2排放"/>
            <w:r>
              <w:t>5113</w:t>
            </w:r>
            <w:bookmarkEnd w:id="87"/>
            <w:bookmarkStart w:id="88" w:name="_GoBack"/>
            <w:bookmarkEnd w:id="8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太阳能能耗_电耗CO2排放平米"/>
            <w:r>
              <w:t>7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光伏能耗"/>
            <w:r>
              <w:rPr>
                <w:rFonts w:hint="eastAsia"/>
                <w:lang w:val="en-US"/>
              </w:rPr>
              <w:t>698</w:t>
            </w:r>
            <w:bookmarkEnd w:id="9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光伏能耗_电耗CO2排放平米"/>
            <w:r>
              <w:t>367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风力能耗"/>
            <w:r>
              <w:rPr>
                <w:rFonts w:hint="eastAsia"/>
                <w:lang w:val="en-US"/>
              </w:rPr>
              <w:t>0</w:t>
            </w:r>
            <w:bookmarkEnd w:id="9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风力能耗_电耗CO2排放平米"/>
            <w:r>
              <w:t>0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"/>
            <w:r>
              <w:rPr>
                <w:rFonts w:hint="eastAsia"/>
                <w:lang w:val="en-US"/>
              </w:rPr>
              <w:t>711</w:t>
            </w:r>
            <w:bookmarkEnd w:id="9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可再生能源能耗_电耗CO2排放平米"/>
            <w:r>
              <w:t>374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建筑总碳排放"/>
            <w:r>
              <w:t>19550</w:t>
            </w:r>
            <w:bookmarkEnd w:id="9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建筑总碳排放平米"/>
            <w:r>
              <w:t>1429</w:t>
            </w:r>
            <w:bookmarkEnd w:id="97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98" w:name="_Toc2089"/>
      <w:r>
        <w:t>全生命周期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19550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-5011</w:t>
            </w:r>
          </w:p>
        </w:tc>
        <w:tc>
          <w:tcPr>
            <w:vAlign w:val="center"/>
          </w:tcPr>
          <w:p>
            <w:r>
              <w:t>-7</w:t>
            </w:r>
          </w:p>
        </w:tc>
        <w:tc>
          <w:tcPr>
            <w:vAlign w:val="center"/>
          </w:tcPr>
          <w:p>
            <w:r>
              <w:t>-366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14539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1063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99" w:name="_Toc26635"/>
      <w:r>
        <w:t>附录</w:t>
      </w:r>
      <w:bookmarkEnd w:id="99"/>
    </w:p>
    <w:p>
      <w:pPr>
        <w:pStyle w:val="4"/>
        <w:jc w:val="both"/>
      </w:pPr>
      <w:bookmarkStart w:id="100" w:name="_Toc18600"/>
      <w:r>
        <w:t>工作日/节假日人员逐时在室率(%)</w:t>
      </w:r>
      <w:bookmarkEnd w:id="10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1" w:name="_Toc17145"/>
      <w:r>
        <w:t>工作日/节假日照明开关时间表(%)</w:t>
      </w:r>
      <w:bookmarkEnd w:id="10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2" w:name="_Toc26811"/>
      <w:r>
        <w:t>工作日/节假日设备逐时使用率(%)</w:t>
      </w:r>
      <w:bookmarkEnd w:id="10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3" w:name="_Toc15811"/>
      <w:r>
        <w:t>工作日/节假日空调系统运行时间表(1:开,0:关)</w:t>
      </w:r>
      <w:bookmarkEnd w:id="10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4F81E73"/>
    <w:rsid w:val="062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(,,•́ . •̀,,)</cp:lastModifiedBy>
  <cp:lastPrinted>2411-12-31T16:00:00Z</cp:lastPrinted>
  <dcterms:modified xsi:type="dcterms:W3CDTF">2022-01-06T08:09:01Z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C271B934BDE34940BE9743595074A0D1</vt:lpwstr>
  </property>
</Properties>
</file>