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低能耗建筑能效评估报告书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绿·动——校园绿色社区营造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福建-厦门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BK40323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厦门大学嘉庚学院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厦门大学嘉庚学院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2022年1月6日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超低能耗PHES2020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T18184315857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_Toc27757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_Toc29462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_Toc29462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_Toc6525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_Toc11798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_Toc29715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_Toc7494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3.3.1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_Toc21672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_Toc18896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_Toc22220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_Toc17830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外门窗气密性</w:t>
      </w:r>
      <w:r>
        <w:tab/>
      </w:r>
      <w:r>
        <w:fldChar w:fldCharType="begin"/>
      </w:r>
      <w:r>
        <w:instrText xml:space="preserve"> PAGEREF _Toc16743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_Toc22952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_Toc17014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_Toc32691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_Toc2761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_Toc10738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_Toc9788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热水锅炉系统</w:t>
      </w:r>
      <w:r>
        <w:tab/>
      </w:r>
      <w:r>
        <w:fldChar w:fldCharType="begin"/>
      </w:r>
      <w:r>
        <w:instrText xml:space="preserve"> PAGEREF _Toc16001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_Toc16115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_Toc20421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_Toc23816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_Toc21382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基准建筑</w:t>
      </w:r>
      <w:r>
        <w:tab/>
      </w:r>
      <w:r>
        <w:fldChar w:fldCharType="begin"/>
      </w:r>
      <w:r>
        <w:instrText xml:space="preserve"> PAGEREF _Toc15593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_Toc25368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_Toc11956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_Toc8662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_Toc21827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_Toc10351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5.3.1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_Toc27331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5.3.2 </w:t>
      </w:r>
      <w:r>
        <w:rPr>
          <w:kern w:val="2"/>
          <w:szCs w:val="24"/>
          <w:lang w:val="en-US"/>
        </w:rPr>
        <w:t>冷却水泵</w:t>
      </w:r>
      <w:r>
        <w:tab/>
      </w:r>
      <w:r>
        <w:fldChar w:fldCharType="begin"/>
      </w:r>
      <w:r>
        <w:instrText xml:space="preserve"> PAGEREF _Toc9140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5.3.3 </w:t>
      </w:r>
      <w:r>
        <w:rPr>
          <w:kern w:val="2"/>
          <w:szCs w:val="24"/>
          <w:lang w:val="en-US"/>
        </w:rPr>
        <w:t>冷冻水泵</w:t>
      </w:r>
      <w:r>
        <w:tab/>
      </w:r>
      <w:r>
        <w:fldChar w:fldCharType="begin"/>
      </w:r>
      <w:r>
        <w:instrText xml:space="preserve"> PAGEREF _Toc7878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_Toc2765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热水锅炉能耗</w:t>
      </w:r>
      <w:r>
        <w:tab/>
      </w:r>
      <w:r>
        <w:fldChar w:fldCharType="begin"/>
      </w:r>
      <w:r>
        <w:instrText xml:space="preserve"> PAGEREF _Toc565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热水循环水泵能耗</w:t>
      </w:r>
      <w:r>
        <w:tab/>
      </w:r>
      <w:r>
        <w:fldChar w:fldCharType="begin"/>
      </w:r>
      <w:r>
        <w:instrText xml:space="preserve"> PAGEREF _Toc12273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_Toc22418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_Toc18463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_Toc4699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能效计算</w:t>
      </w:r>
      <w:r>
        <w:tab/>
      </w:r>
      <w:r>
        <w:fldChar w:fldCharType="begin"/>
      </w:r>
      <w:r>
        <w:instrText xml:space="preserve"> PAGEREF _Toc10603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_Toc26268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_Toc15575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_Toc4587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_Toc18388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_Toc18388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_Toc4447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775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绿·动——校园绿色社区营造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福建-厦门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24.00°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118.06°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14732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15.2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55983.25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14151.02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类型细化"/>
            <w:r>
              <w:t>办公建筑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围护结构概况"/>
      <w:r>
        <w:rPr>
          <w:lang w:val="en-US"/>
        </w:rPr>
        <w:t>备注：1. — 代表本工程无对应项; 2. ——代表基准建筑不要求，取值同设计建筑。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29462"/>
      <w:r>
        <w:rPr>
          <w:rFonts w:hint="eastAsia"/>
        </w:rPr>
        <w:t>评估依据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r>
        <w:rPr>
          <w:kern w:val="2"/>
          <w:szCs w:val="24"/>
          <w:lang w:val="en-US"/>
        </w:rPr>
        <w:t>1. 《近零能耗建筑技术标准》(GB/T51350-2019)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6525"/>
      <w:r>
        <w:rPr>
          <w:kern w:val="2"/>
          <w:szCs w:val="24"/>
          <w:lang w:val="en-US"/>
        </w:rPr>
        <w:t>围护结构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1798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9715"/>
      <w:r>
        <w:rPr>
          <w:kern w:val="2"/>
          <w:szCs w:val="24"/>
          <w:lang w:val="en-US"/>
        </w:rPr>
        <w:t>屋顶</w:t>
      </w:r>
      <w:bookmarkEnd w:id="37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8" w:name="_Toc1329"/>
      <w:r>
        <w:rPr>
          <w:kern w:val="2"/>
          <w:szCs w:val="24"/>
          <w:lang w:val="en-US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494"/>
      <w:r>
        <w:rPr>
          <w:kern w:val="2"/>
          <w:szCs w:val="24"/>
          <w:lang w:val="en-US"/>
        </w:rPr>
        <w:t>外墙</w:t>
      </w:r>
      <w:bookmarkEnd w:id="3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0" w:name="_Toc21672"/>
      <w:r>
        <w:rPr>
          <w:kern w:val="2"/>
          <w:szCs w:val="24"/>
          <w:lang w:val="en-US"/>
        </w:rPr>
        <w:t>外墙构造一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8896"/>
      <w:r>
        <w:rPr>
          <w:kern w:val="2"/>
          <w:szCs w:val="24"/>
          <w:lang w:val="en-US"/>
        </w:rPr>
        <w:t>外窗热工</w:t>
      </w:r>
      <w:bookmarkEnd w:id="4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2" w:name="_Toc2527"/>
      <w:r>
        <w:rPr>
          <w:kern w:val="2"/>
          <w:szCs w:val="24"/>
          <w:lang w:val="en-US"/>
        </w:rPr>
        <w:t>外窗构造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3" w:name="_Toc22220"/>
      <w:r>
        <w:rPr>
          <w:kern w:val="2"/>
          <w:szCs w:val="24"/>
          <w:lang w:val="en-US"/>
        </w:rPr>
        <w:t>外遮阳类型</w:t>
      </w:r>
      <w:bookmarkEnd w:id="43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4" w:name="_Toc17830"/>
      <w:r>
        <w:rPr>
          <w:kern w:val="2"/>
          <w:szCs w:val="24"/>
          <w:lang w:val="en-US"/>
        </w:rPr>
        <w:t>总体热工性能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180.74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K≤2.80, SHGCSum≤0.15, SHGCWin(不要求)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63.84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K≤2.80, SHGCSum≤0.15, SHGCWin(不要求)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54.18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K≤2.80, SHGCSum≤0.15, SHGCWin(不要求)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52.92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K≤2.80, SHGCSum≤0.15, SHGCWin(不要求)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351.68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《近零能耗建筑技术标准》(GB/T51350-2019)第6.1.5条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K和SHGC值可按表6.1.5-2选取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6743"/>
      <w:r>
        <w:rPr>
          <w:kern w:val="2"/>
          <w:szCs w:val="24"/>
          <w:lang w:val="en-US"/>
        </w:rPr>
        <w:t>外门窗气密性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56"/>
        <w:gridCol w:w="2356"/>
        <w:gridCol w:w="2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  C1814</w:t>
            </w:r>
          </w:p>
        </w:tc>
        <w:tc>
          <w:tcPr>
            <w:vAlign w:val="center"/>
          </w:tcPr>
          <w:p>
            <w:r>
              <w:t>8级  C1814</w:t>
            </w:r>
          </w:p>
        </w:tc>
        <w:tc>
          <w:tcPr>
            <w:vAlign w:val="center"/>
          </w:tcPr>
          <w:p>
            <w:r>
              <w:t>8级  C1814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7106-2008）的8级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  <w:tc>
          <w:tcPr>
            <w:vAlign w:val="center"/>
          </w:tcPr>
          <w:p>
            <w:r>
              <w:t>外窗及外门户门气密性不宜低于《建筑外门窗气密，水密，抗风压性能分级及检测方法》（GB/T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2952"/>
      <w:r>
        <w:rPr>
          <w:kern w:val="2"/>
          <w:szCs w:val="24"/>
          <w:lang w:val="en-US"/>
        </w:rPr>
        <w:t>规定项检查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外门窗气密性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263"/>
      <w:r>
        <w:rPr>
          <w:kern w:val="2"/>
          <w:szCs w:val="24"/>
          <w:lang w:val="en-US"/>
        </w:rPr>
        <w:t>设计建筑</w:t>
      </w:r>
      <w:bookmarkEnd w:id="4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7014"/>
      <w:r>
        <w:rPr>
          <w:kern w:val="2"/>
          <w:szCs w:val="24"/>
          <w:lang w:val="en-US"/>
        </w:rPr>
        <w:t>房间类型</w:t>
      </w:r>
      <w:bookmarkEnd w:id="4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32691"/>
      <w:r>
        <w:rPr>
          <w:kern w:val="2"/>
          <w:szCs w:val="24"/>
          <w:lang w:val="en-US"/>
        </w:rPr>
        <w:t>房间表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2763"/>
      <w:r>
        <w:rPr>
          <w:kern w:val="2"/>
          <w:szCs w:val="24"/>
          <w:lang w:val="en-US"/>
        </w:rPr>
        <w:t>作息时间表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2761"/>
      <w:r>
        <w:rPr>
          <w:kern w:val="2"/>
          <w:szCs w:val="24"/>
          <w:lang w:val="en-US"/>
        </w:rPr>
        <w:t>系统类型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19348.40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0738"/>
      <w:r>
        <w:rPr>
          <w:kern w:val="2"/>
          <w:szCs w:val="24"/>
          <w:lang w:val="en-US"/>
        </w:rPr>
        <w:t>制冷系统</w:t>
      </w:r>
      <w:bookmarkEnd w:id="5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9788"/>
      <w:r>
        <w:rPr>
          <w:kern w:val="2"/>
          <w:szCs w:val="24"/>
          <w:lang w:val="en-US"/>
        </w:rPr>
        <w:t>供暖系统</w:t>
      </w:r>
      <w:bookmarkEnd w:id="53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6001"/>
      <w:r>
        <w:rPr>
          <w:kern w:val="2"/>
          <w:szCs w:val="24"/>
          <w:lang w:val="en-US"/>
        </w:rPr>
        <w:t>热水锅炉系统</w:t>
      </w:r>
      <w:bookmarkEnd w:id="54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28"/>
        <w:gridCol w:w="1141"/>
        <w:gridCol w:w="1273"/>
        <w:gridCol w:w="1415"/>
        <w:gridCol w:w="137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11"/>
        <w:gridCol w:w="1131"/>
        <w:gridCol w:w="2014"/>
        <w:gridCol w:w="2331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16115"/>
      <w:r>
        <w:rPr>
          <w:kern w:val="2"/>
          <w:szCs w:val="24"/>
          <w:lang w:val="en-US"/>
        </w:rPr>
        <w:t>照明</w:t>
      </w:r>
      <w:bookmarkEnd w:id="5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20325</w:t>
            </w:r>
          </w:p>
        </w:tc>
        <w:tc>
          <w:tcPr>
            <w:vAlign w:val="center"/>
          </w:tcPr>
          <w:p>
            <w:r>
              <w:t>548774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548774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0421"/>
      <w:r>
        <w:rPr>
          <w:kern w:val="2"/>
          <w:szCs w:val="24"/>
          <w:lang w:val="en-US"/>
        </w:rPr>
        <w:t>生活热水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日照辐照量(kJ/㎡.天)：16340，年运行天数：256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23816"/>
      <w:r>
        <w:rPr>
          <w:kern w:val="2"/>
          <w:szCs w:val="24"/>
          <w:lang w:val="en-US"/>
        </w:rPr>
        <w:t>电梯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1382"/>
      <w:r>
        <w:rPr>
          <w:kern w:val="2"/>
          <w:szCs w:val="24"/>
          <w:lang w:val="en-US"/>
        </w:rPr>
        <w:t>光伏发电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9" w:name="_Toc15593"/>
      <w:r>
        <w:rPr>
          <w:kern w:val="2"/>
          <w:szCs w:val="24"/>
          <w:lang w:val="en-US"/>
        </w:rPr>
        <w:t>基准建筑</w:t>
      </w:r>
      <w:bookmarkEnd w:id="5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5368"/>
      <w:r>
        <w:rPr>
          <w:kern w:val="2"/>
          <w:szCs w:val="24"/>
          <w:lang w:val="en-US"/>
        </w:rPr>
        <w:t>房间类型</w:t>
      </w:r>
      <w:bookmarkEnd w:id="6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11956"/>
      <w:r>
        <w:rPr>
          <w:kern w:val="2"/>
          <w:szCs w:val="24"/>
          <w:lang w:val="en-US"/>
        </w:rPr>
        <w:t>房间表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8662"/>
      <w:r>
        <w:rPr>
          <w:kern w:val="2"/>
          <w:szCs w:val="24"/>
          <w:lang w:val="en-US"/>
        </w:rPr>
        <w:t>作息时间表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1827"/>
      <w:r>
        <w:rPr>
          <w:kern w:val="2"/>
          <w:szCs w:val="24"/>
          <w:lang w:val="en-US"/>
        </w:rPr>
        <w:t>系统类型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19348.40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10351"/>
      <w:r>
        <w:rPr>
          <w:kern w:val="2"/>
          <w:szCs w:val="24"/>
          <w:lang w:val="en-US"/>
        </w:rPr>
        <w:t>制冷系统</w:t>
      </w:r>
      <w:bookmarkEnd w:id="64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27331"/>
      <w:r>
        <w:rPr>
          <w:kern w:val="2"/>
          <w:szCs w:val="24"/>
          <w:lang w:val="en-US"/>
        </w:rPr>
        <w:t>冷水机组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  <w:gridCol w:w="1115"/>
        <w:gridCol w:w="1115"/>
        <w:gridCol w:w="401"/>
        <w:gridCol w:w="979"/>
        <w:gridCol w:w="1381"/>
        <w:gridCol w:w="8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</w:t>
            </w:r>
            <w:r>
              <w:br w:type="textWrapping"/>
            </w:r>
            <w:r>
              <w:t>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</w:t>
            </w:r>
            <w:r>
              <w:br w:type="textWrapping"/>
            </w:r>
            <w:r>
              <w:t>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9140"/>
      <w:r>
        <w:rPr>
          <w:kern w:val="2"/>
          <w:szCs w:val="24"/>
          <w:lang w:val="en-US"/>
        </w:rPr>
        <w:t>冷却水泵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56"/>
        <w:gridCol w:w="1415"/>
        <w:gridCol w:w="1697"/>
        <w:gridCol w:w="1556"/>
        <w:gridCol w:w="14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7" w:name="_Toc7878"/>
      <w:r>
        <w:rPr>
          <w:kern w:val="2"/>
          <w:szCs w:val="24"/>
          <w:lang w:val="en-US"/>
        </w:rPr>
        <w:t>冷冻水泵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765"/>
      <w:r>
        <w:rPr>
          <w:kern w:val="2"/>
          <w:szCs w:val="24"/>
          <w:lang w:val="en-US"/>
        </w:rPr>
        <w:t>供暖系统</w:t>
      </w:r>
      <w:bookmarkEnd w:id="6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9" w:name="_Toc565"/>
      <w:r>
        <w:rPr>
          <w:kern w:val="2"/>
          <w:szCs w:val="24"/>
          <w:lang w:val="en-US"/>
        </w:rPr>
        <w:t>热水锅炉能耗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70" w:name="_Toc12273"/>
      <w:r>
        <w:rPr>
          <w:kern w:val="2"/>
          <w:szCs w:val="24"/>
          <w:lang w:val="en-US"/>
        </w:rPr>
        <w:t>热水循环水泵能耗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0.00865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22418"/>
      <w:r>
        <w:rPr>
          <w:kern w:val="2"/>
          <w:szCs w:val="24"/>
          <w:lang w:val="en-US"/>
        </w:rP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20325</w:t>
            </w:r>
          </w:p>
        </w:tc>
        <w:tc>
          <w:tcPr>
            <w:vAlign w:val="center"/>
          </w:tcPr>
          <w:p>
            <w:r>
              <w:t>548774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548774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18463"/>
      <w:r>
        <w:rPr>
          <w:kern w:val="2"/>
          <w:szCs w:val="24"/>
          <w:lang w:val="en-US"/>
        </w:rPr>
        <w:t>生活热水</w:t>
      </w:r>
      <w:bookmarkEnd w:id="7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热水温差(℃)：45, 日照辐照量(kJ/㎡.天)：16340，年运行天数：256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3" w:name="_Toc4699"/>
      <w:r>
        <w:rPr>
          <w:kern w:val="2"/>
          <w:szCs w:val="24"/>
          <w:lang w:val="en-US"/>
        </w:rPr>
        <w:t>电梯</w:t>
      </w:r>
      <w:bookmarkEnd w:id="7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10603"/>
      <w:r>
        <w:rPr>
          <w:kern w:val="2"/>
          <w:szCs w:val="24"/>
          <w:lang w:val="en-US"/>
        </w:rPr>
        <w:t>能效计算</w:t>
      </w:r>
      <w:bookmarkEnd w:id="7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47"/>
        <w:gridCol w:w="1629"/>
        <w:gridCol w:w="1629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  <w:bookmarkEnd w:id="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热水泵能耗"/>
            <w:r>
              <w:rPr>
                <w:lang w:val="en-US"/>
              </w:rPr>
              <w:t>0.00</w:t>
            </w:r>
            <w:bookmarkEnd w:id="7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_GoBack"/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32"/>
          </w:p>
        </w:tc>
      </w:tr>
      <w:bookmarkEnd w:id="10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参照建筑照明能耗"/>
            <w:r>
              <w:rPr>
                <w:lang w:val="en-US"/>
              </w:rPr>
              <w:t>0.00</w:t>
            </w:r>
            <w:bookmarkEnd w:id="7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节能率其他能耗"/>
            <w:r>
              <w:rPr>
                <w:rFonts w:hint="eastAsia"/>
                <w:lang w:val="en-US"/>
              </w:rPr>
              <w:t>-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热水系统能耗"/>
            <w:r>
              <w:rPr>
                <w:lang w:val="en-US"/>
              </w:rPr>
              <w:t>0.00</w:t>
            </w:r>
            <w:bookmarkEnd w:id="7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参照建筑热水系统能耗"/>
            <w:r>
              <w:rPr>
                <w:lang w:val="en-US"/>
              </w:rPr>
              <w:t>0.00</w:t>
            </w:r>
            <w:bookmarkEnd w:id="7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动力系统能耗"/>
            <w:r>
              <w:rPr>
                <w:lang w:val="en-US"/>
              </w:rPr>
              <w:t>0.00</w:t>
            </w:r>
            <w:bookmarkEnd w:id="8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参照建筑动力系统能耗"/>
            <w:r>
              <w:rPr>
                <w:lang w:val="en-US"/>
              </w:rPr>
              <w:t>0.00</w:t>
            </w:r>
            <w:bookmarkEnd w:id="8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建筑本体能耗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参照建筑建筑本体能耗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节能率建筑本体能耗"/>
            <w:r>
              <w:rPr>
                <w:rFonts w:hint="eastAsia"/>
                <w:lang w:val="en-US"/>
              </w:rPr>
              <w:t>-</w:t>
            </w:r>
            <w:bookmarkEnd w:id="85"/>
          </w:p>
        </w:tc>
      </w:tr>
      <w:bookmarkEnd w:id="8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_GoBack"/>
            <w:bookmarkEnd w:id="86"/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太阳能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光伏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可再生能源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建筑综合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参照建筑建筑综合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节能率建筑综合能耗"/>
            <w:r>
              <w:rPr>
                <w:rFonts w:hint="eastAsia"/>
                <w:lang w:val="en-US"/>
              </w:rPr>
              <w:t>-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93" w:name="标准依据"/>
            <w:r>
              <w:rPr>
                <w:rFonts w:hint="eastAsia"/>
              </w:rPr>
              <w:t>《近零能耗建筑技术标准》(GB/T51350-2019)表5.0.4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94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95" w:name="结论"/>
            <w:r>
              <w:rPr>
                <w:rFonts w:hint="eastAsia"/>
                <w:color w:val="auto"/>
              </w:rPr>
              <w:t>满足</w:t>
            </w:r>
            <w:bookmarkEnd w:id="95"/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能耗分项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需求量(kWh/㎡)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可再生能源利用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利用量(热量) (kWh/㎡)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耗冷量Qc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耗热量Qh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地源\空气源EPh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生活热水耗热量Qw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太阳能供热EPw,sol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照明能耗Ql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光伏发电Er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电梯能耗Qe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可再生利用率</w:t>
            </w:r>
          </w:p>
        </w:tc>
        <w:tc>
          <w:tcPr>
            <w:gridSpan w:val="3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计算依据</w:t>
            </w:r>
          </w:p>
        </w:tc>
        <w:tc>
          <w:tcPr>
            <w:gridSpan w:val="3"/>
            <w:vAlign w:val="center"/>
          </w:tcPr>
          <w:p>
            <w:r>
              <w:t>《近零能耗建筑技术标准》第A.1.7条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6" w:name="_Toc26268"/>
      <w:r>
        <w:rPr>
          <w:kern w:val="2"/>
          <w:szCs w:val="24"/>
          <w:lang w:val="en-US"/>
        </w:rPr>
        <w:t>附录</w:t>
      </w:r>
      <w:bookmarkEnd w:id="9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97" w:name="_Toc15575"/>
      <w:r>
        <w:rPr>
          <w:kern w:val="2"/>
          <w:szCs w:val="24"/>
          <w:lang w:val="en-US"/>
        </w:rPr>
        <w:t>工作日/节假日人员逐时在室率(%)</w:t>
      </w:r>
      <w:bookmarkEnd w:id="9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t>注：上行：工作日；下行：节假日</w:t>
      </w:r>
    </w:p>
    <w:p>
      <w:pPr>
        <w:pStyle w:val="4"/>
      </w:pPr>
      <w:bookmarkStart w:id="98" w:name="_Toc4587"/>
      <w:r>
        <w:t>工作日/节假日照明开关时间表(%)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9" w:name="_Toc18388"/>
      <w:r>
        <w:t>工作日/节假日设备逐时使用率(%)</w:t>
      </w:r>
      <w:bookmarkEnd w:id="9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0" w:name="_Toc4447"/>
      <w:r>
        <w:t>工作日/节假日空调系统运行时间表(1:开,0:关)</w:t>
      </w:r>
      <w:bookmarkEnd w:id="100"/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545012D8"/>
    <w:rsid w:val="73D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Company>ths</Company>
  <Pages>4</Pages>
  <Words>904</Words>
  <Characters>5158</Characters>
  <Lines>42</Lines>
  <Paragraphs>12</Paragraphs>
  <TotalTime>1</TotalTime>
  <ScaleCrop>false</ScaleCrop>
  <LinksUpToDate>false</LinksUpToDate>
  <CharactersWithSpaces>6050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lilikui</dc:creator>
  <cp:lastModifiedBy>woodenfish</cp:lastModifiedBy>
  <cp:lastPrinted>2411-12-31T16:00:00Z</cp:lastPrinted>
  <dcterms:modified xsi:type="dcterms:W3CDTF">2022-01-05T21:47:39Z</dcterms:modified>
  <dc:title>低能耗建筑能效评估报告书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87F8064A5243495FAC49F126517AD2D2</vt:lpwstr>
  </property>
</Properties>
</file>