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低能耗建筑能效评估报告书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绿·动——校园绿色社区营造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福建-厦门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BK40323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厦门大学嘉庚学院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厦门大学嘉庚学院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2022年1月6日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超低能耗PHES2020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20191010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T18184315857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_Toc27757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_Toc27757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_Toc29462 </w:instrText>
      </w:r>
      <w:r>
        <w:fldChar w:fldCharType="separate"/>
      </w:r>
      <w:r>
        <w:rPr>
          <w:rFonts w:hint="eastAsia"/>
        </w:rPr>
        <w:t>2 评估依据</w:t>
      </w:r>
      <w:r>
        <w:tab/>
      </w:r>
      <w:r>
        <w:fldChar w:fldCharType="begin"/>
      </w:r>
      <w:r>
        <w:instrText xml:space="preserve"> PAGEREF _Toc29462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_Toc6525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_Toc6525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_Toc11798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3.2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_Toc29715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_Toc1329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3.2.1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_Toc1329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_Toc7494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3.3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_Toc7494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_Toc21672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3.3.1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_Toc21672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_Toc18896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3.4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_Toc18896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_Toc2527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_Toc2527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_Toc22220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_Toc22220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_Toc17830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3.4.3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_Toc17830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_Toc16743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3.5 </w:t>
      </w:r>
      <w:r>
        <w:rPr>
          <w:kern w:val="2"/>
          <w:szCs w:val="24"/>
          <w:lang w:val="en-US"/>
        </w:rPr>
        <w:t>外门窗气密性</w:t>
      </w:r>
      <w:r>
        <w:tab/>
      </w:r>
      <w:r>
        <w:fldChar w:fldCharType="begin"/>
      </w:r>
      <w:r>
        <w:instrText xml:space="preserve"> PAGEREF _Toc16743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3.6 </w:t>
      </w:r>
      <w:r>
        <w:rPr>
          <w:kern w:val="2"/>
          <w:szCs w:val="24"/>
          <w:lang w:val="en-US"/>
        </w:rPr>
        <w:t>规定项检查</w:t>
      </w:r>
      <w:r>
        <w:tab/>
      </w:r>
      <w:r>
        <w:fldChar w:fldCharType="begin"/>
      </w:r>
      <w:r>
        <w:instrText xml:space="preserve"> PAGEREF _Toc22952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设计建筑</w:t>
      </w:r>
      <w:r>
        <w:tab/>
      </w:r>
      <w:r>
        <w:fldChar w:fldCharType="begin"/>
      </w:r>
      <w:r>
        <w:instrText xml:space="preserve"> PAGEREF _Toc263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_Toc17014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_Toc32691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_Toc32691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_Toc2763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_Toc2761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_Toc10738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_Toc9788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_Toc16001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热水锅炉系统</w:t>
      </w:r>
      <w:r>
        <w:tab/>
      </w:r>
      <w:r>
        <w:fldChar w:fldCharType="begin"/>
      </w:r>
      <w:r>
        <w:instrText xml:space="preserve"> PAGEREF _Toc16001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_Toc16115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_Toc20421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生活热水</w:t>
      </w:r>
      <w:r>
        <w:tab/>
      </w:r>
      <w:r>
        <w:fldChar w:fldCharType="begin"/>
      </w:r>
      <w:r>
        <w:instrText xml:space="preserve"> PAGEREF _Toc20421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_Toc23816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电梯</w:t>
      </w:r>
      <w:r>
        <w:tab/>
      </w:r>
      <w:r>
        <w:fldChar w:fldCharType="begin"/>
      </w:r>
      <w:r>
        <w:instrText xml:space="preserve"> PAGEREF _Toc23816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_Toc21382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光伏发电</w:t>
      </w:r>
      <w:r>
        <w:tab/>
      </w:r>
      <w:r>
        <w:fldChar w:fldCharType="begin"/>
      </w:r>
      <w:r>
        <w:instrText xml:space="preserve"> PAGEREF _Toc21382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_Toc15593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基准建筑</w:t>
      </w:r>
      <w:r>
        <w:tab/>
      </w:r>
      <w:r>
        <w:fldChar w:fldCharType="begin"/>
      </w:r>
      <w:r>
        <w:instrText xml:space="preserve"> PAGEREF _Toc15593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_Toc25368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_Toc11956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5.1.1 </w:t>
      </w:r>
      <w:r>
        <w:rPr>
          <w:kern w:val="2"/>
          <w:szCs w:val="24"/>
          <w:lang w:val="en-US"/>
        </w:rPr>
        <w:t>房间表</w:t>
      </w:r>
      <w:r>
        <w:tab/>
      </w:r>
      <w:r>
        <w:fldChar w:fldCharType="begin"/>
      </w:r>
      <w:r>
        <w:instrText xml:space="preserve"> PAGEREF _Toc11956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_Toc8662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_Toc8662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_Toc21827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_Toc21827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_Toc10351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_Toc10351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_Toc27331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5.3.1 </w:t>
      </w:r>
      <w:r>
        <w:rPr>
          <w:kern w:val="2"/>
          <w:szCs w:val="24"/>
          <w:lang w:val="en-US"/>
        </w:rPr>
        <w:t>冷水机组</w:t>
      </w:r>
      <w:r>
        <w:tab/>
      </w:r>
      <w:r>
        <w:fldChar w:fldCharType="begin"/>
      </w:r>
      <w:r>
        <w:instrText xml:space="preserve"> PAGEREF _Toc27331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_Toc9140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5.3.2 </w:t>
      </w:r>
      <w:r>
        <w:rPr>
          <w:kern w:val="2"/>
          <w:szCs w:val="24"/>
          <w:lang w:val="en-US"/>
        </w:rPr>
        <w:t>冷却水泵</w:t>
      </w:r>
      <w:r>
        <w:tab/>
      </w:r>
      <w:r>
        <w:fldChar w:fldCharType="begin"/>
      </w:r>
      <w:r>
        <w:instrText xml:space="preserve"> PAGEREF _Toc9140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_Toc7878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5.3.3 </w:t>
      </w:r>
      <w:r>
        <w:rPr>
          <w:kern w:val="2"/>
          <w:szCs w:val="24"/>
          <w:lang w:val="en-US"/>
        </w:rPr>
        <w:t>冷冻水泵</w:t>
      </w:r>
      <w:r>
        <w:tab/>
      </w:r>
      <w:r>
        <w:fldChar w:fldCharType="begin"/>
      </w:r>
      <w:r>
        <w:instrText xml:space="preserve"> PAGEREF _Toc7878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_Toc2765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_Toc565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5.4.1 </w:t>
      </w:r>
      <w:r>
        <w:rPr>
          <w:kern w:val="2"/>
          <w:szCs w:val="24"/>
          <w:lang w:val="en-US"/>
        </w:rPr>
        <w:t>热水锅炉能耗</w:t>
      </w:r>
      <w:r>
        <w:tab/>
      </w:r>
      <w:r>
        <w:fldChar w:fldCharType="begin"/>
      </w:r>
      <w:r>
        <w:instrText xml:space="preserve"> PAGEREF _Toc565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_Toc12273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5.4.2 </w:t>
      </w:r>
      <w:r>
        <w:rPr>
          <w:kern w:val="2"/>
          <w:szCs w:val="24"/>
          <w:lang w:val="en-US"/>
        </w:rPr>
        <w:t>热水循环水泵能耗</w:t>
      </w:r>
      <w:r>
        <w:tab/>
      </w:r>
      <w:r>
        <w:fldChar w:fldCharType="begin"/>
      </w:r>
      <w:r>
        <w:instrText xml:space="preserve"> PAGEREF _Toc12273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_Toc22418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5.6 </w:t>
      </w:r>
      <w:r>
        <w:rPr>
          <w:kern w:val="2"/>
          <w:szCs w:val="24"/>
          <w:lang w:val="en-US"/>
        </w:rPr>
        <w:t>生活热水</w:t>
      </w:r>
      <w:r>
        <w:tab/>
      </w:r>
      <w:r>
        <w:fldChar w:fldCharType="begin"/>
      </w:r>
      <w:r>
        <w:instrText xml:space="preserve"> PAGEREF _Toc18463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_Toc4699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5.7 </w:t>
      </w:r>
      <w:r>
        <w:rPr>
          <w:kern w:val="2"/>
          <w:szCs w:val="24"/>
          <w:lang w:val="en-US"/>
        </w:rPr>
        <w:t>电梯</w:t>
      </w:r>
      <w:r>
        <w:tab/>
      </w:r>
      <w:r>
        <w:fldChar w:fldCharType="begin"/>
      </w:r>
      <w:r>
        <w:instrText xml:space="preserve"> PAGEREF _Toc4699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_Toc10603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能效计算</w:t>
      </w:r>
      <w:r>
        <w:tab/>
      </w:r>
      <w:r>
        <w:fldChar w:fldCharType="begin"/>
      </w:r>
      <w:r>
        <w:instrText xml:space="preserve"> PAGEREF _Toc10603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_Toc26268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_Toc26268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工作日/节假日人员逐时在室率(%)</w:t>
      </w:r>
      <w:r>
        <w:tab/>
      </w:r>
      <w:r>
        <w:fldChar w:fldCharType="begin"/>
      </w:r>
      <w:r>
        <w:instrText xml:space="preserve"> PAGEREF _Toc15575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_Toc4587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_Toc4587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_Toc18388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_Toc18388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_Toc4447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_Toc4447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27757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绿·动——校园绿色社区营造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福建-厦门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24.00°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118.06°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14732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0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15.2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55983.25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14151.02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类型细化"/>
            <w:r>
              <w:t>办公建筑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30" w:name="控温期"/>
            <w:r>
              <w:t>全年控温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1" w:name="TitleFormat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6"/>
        <w:gridCol w:w="981"/>
        <w:gridCol w:w="981"/>
        <w:gridCol w:w="1145"/>
        <w:gridCol w:w="942"/>
        <w:gridCol w:w="1179"/>
        <w:gridCol w:w="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基准建筑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1.13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1.19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地下车库与供暖房间之间的楼板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非供暖楼梯间与供暖房间之间的隔墙</w:t>
            </w:r>
            <w:r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sz w:val="21"/>
                <w:szCs w:val="21"/>
              </w:rPr>
              <w:t>K [W/(m2·K)]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变形缝热阻R[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85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8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围护结构概况"/>
      <w:r>
        <w:rPr>
          <w:lang w:val="en-US"/>
        </w:rPr>
        <w:t>备注：1. — 代表本工程无对应项; 2. ——代表基准建筑不要求，取值同设计建筑。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29462"/>
      <w:r>
        <w:rPr>
          <w:rFonts w:hint="eastAsia"/>
        </w:rPr>
        <w:t>评估依据</w:t>
      </w:r>
      <w:bookmarkEnd w:id="33"/>
    </w:p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r>
        <w:rPr>
          <w:kern w:val="2"/>
          <w:szCs w:val="24"/>
          <w:lang w:val="en-US"/>
        </w:rPr>
        <w:t>1. 《近零能耗建筑技术标准》(GB/T51350-2019)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6525"/>
      <w:r>
        <w:rPr>
          <w:kern w:val="2"/>
          <w:szCs w:val="24"/>
          <w:lang w:val="en-US"/>
        </w:rPr>
        <w:t>围护结构</w:t>
      </w:r>
      <w:bookmarkEnd w:id="3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11798"/>
      <w:r>
        <w:rPr>
          <w:kern w:val="2"/>
          <w:szCs w:val="24"/>
          <w:lang w:val="en-US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29715"/>
      <w:r>
        <w:rPr>
          <w:kern w:val="2"/>
          <w:szCs w:val="24"/>
          <w:lang w:val="en-US"/>
        </w:rPr>
        <w:t>屋顶</w:t>
      </w:r>
      <w:bookmarkEnd w:id="37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38" w:name="_Toc1329"/>
      <w:r>
        <w:rPr>
          <w:kern w:val="2"/>
          <w:szCs w:val="24"/>
          <w:lang w:val="en-US"/>
        </w:rPr>
        <w:t>屋顶构造一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1.142</w:t>
            </w:r>
          </w:p>
        </w:tc>
        <w:tc>
          <w:tcPr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0.77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7494"/>
      <w:r>
        <w:rPr>
          <w:kern w:val="2"/>
          <w:szCs w:val="24"/>
          <w:lang w:val="en-US"/>
        </w:rPr>
        <w:t>外墙</w:t>
      </w:r>
      <w:bookmarkEnd w:id="39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0" w:name="_Toc21672"/>
      <w:r>
        <w:rPr>
          <w:kern w:val="2"/>
          <w:szCs w:val="24"/>
          <w:lang w:val="en-US"/>
        </w:rPr>
        <w:t>外墙构造一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18896"/>
      <w:r>
        <w:rPr>
          <w:kern w:val="2"/>
          <w:szCs w:val="24"/>
          <w:lang w:val="en-US"/>
        </w:rPr>
        <w:t>外窗热工</w:t>
      </w:r>
      <w:bookmarkEnd w:id="41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2" w:name="_Toc2527"/>
      <w:r>
        <w:rPr>
          <w:kern w:val="2"/>
          <w:szCs w:val="24"/>
          <w:lang w:val="en-US"/>
        </w:rPr>
        <w:t>外窗构造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3" w:name="_Toc22220"/>
      <w:r>
        <w:rPr>
          <w:kern w:val="2"/>
          <w:szCs w:val="24"/>
          <w:lang w:val="en-US"/>
        </w:rPr>
        <w:t>外遮阳类型</w:t>
      </w:r>
      <w:bookmarkEnd w:id="43"/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961"/>
        <w:gridCol w:w="1409"/>
        <w:gridCol w:w="1409"/>
        <w:gridCol w:w="14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0.200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4" w:name="_Toc17830"/>
      <w:r>
        <w:rPr>
          <w:kern w:val="2"/>
          <w:szCs w:val="24"/>
          <w:lang w:val="en-US"/>
        </w:rPr>
        <w:t>总体热工性能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2"/>
        <w:gridCol w:w="792"/>
        <w:gridCol w:w="1245"/>
        <w:gridCol w:w="1245"/>
        <w:gridCol w:w="905"/>
        <w:gridCol w:w="225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180.74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>
            <w:r>
              <w:t>K≤2.80, SHGCSum≤0.15, SHGCWin(不要求)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63.84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K≤2.80, SHGCSum≤0.15, SHGCWin(不要求)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54.18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K≤2.80, SHGCSum≤0.15, SHGCWin(不要求)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52.92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K≤2.80, SHGCSum≤0.15, SHGCWin(不要求)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351.68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《近零能耗建筑技术标准》(GB/T51350-2019)第6.1.5条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K和SHGC值可按表6.1.5-2选取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不需要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5" w:name="_Toc16743"/>
      <w:r>
        <w:rPr>
          <w:kern w:val="2"/>
          <w:szCs w:val="24"/>
          <w:lang w:val="en-US"/>
        </w:rPr>
        <w:t>外门窗气密性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56"/>
        <w:gridCol w:w="2356"/>
        <w:gridCol w:w="2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外门气密性</w:t>
            </w:r>
          </w:p>
        </w:tc>
        <w:tc>
          <w:tcPr>
            <w:vAlign w:val="center"/>
          </w:tcPr>
          <w:p>
            <w:r>
              <w:t>户门气密性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8级  C1814</w:t>
            </w:r>
          </w:p>
        </w:tc>
        <w:tc>
          <w:tcPr>
            <w:vAlign w:val="center"/>
          </w:tcPr>
          <w:p>
            <w:r>
              <w:t>8级  C1814</w:t>
            </w:r>
          </w:p>
        </w:tc>
        <w:tc>
          <w:tcPr>
            <w:vAlign w:val="center"/>
          </w:tcPr>
          <w:p>
            <w:r>
              <w:t>8级  C1814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外门窗气密性措施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《近零能耗建筑技术标准》第6.1.4条，分级与检测方法《建筑外门窗气密，水密，抗风压性能分级及检测方法》（GB/T 7106-2008）</w:t>
            </w:r>
          </w:p>
        </w:tc>
        <w:tc>
          <w:tcPr>
            <w:vAlign w:val="center"/>
          </w:tcPr>
          <w:p>
            <w:r>
              <w:t>《近零能耗建筑技术标准》第6.1.4条，分级与检测方法《建筑外门窗气密，水密，抗风压性能分级及检测方法》（GB/T 7106-2008）</w:t>
            </w:r>
          </w:p>
        </w:tc>
        <w:tc>
          <w:tcPr>
            <w:vAlign w:val="center"/>
          </w:tcPr>
          <w:p>
            <w:r>
              <w:t>《近零能耗建筑技术标准》第6.1.4条，分级与检测方法《建筑外门窗气密，水密，抗风压性能分级及检测方法》（GB/T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外窗及外门户门气密性不宜低于《建筑外门窗气密，水密，抗风压性能分级及检测方法》（GB/T 7106-2008）的8级</w:t>
            </w:r>
          </w:p>
        </w:tc>
        <w:tc>
          <w:tcPr>
            <w:vAlign w:val="center"/>
          </w:tcPr>
          <w:p>
            <w:r>
              <w:t>外窗及外门户门气密性不宜低于《建筑外门窗气密，水密，抗风压性能分级及检测方法》（GB/T 7106-2008）的6级</w:t>
            </w:r>
          </w:p>
        </w:tc>
        <w:tc>
          <w:tcPr>
            <w:vAlign w:val="center"/>
          </w:tcPr>
          <w:p>
            <w:r>
              <w:t>外窗及外门户门气密性不宜低于《建筑外门窗气密，水密，抗风压性能分级及检测方法》（GB/T 7106-2008）的6级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22952"/>
      <w:r>
        <w:rPr>
          <w:kern w:val="2"/>
          <w:szCs w:val="24"/>
          <w:lang w:val="en-US"/>
        </w:rPr>
        <w:t>规定项检查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外门窗气密性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7" w:name="_Toc263"/>
      <w:r>
        <w:rPr>
          <w:kern w:val="2"/>
          <w:szCs w:val="24"/>
          <w:lang w:val="en-US"/>
        </w:rPr>
        <w:t>设计建筑</w:t>
      </w:r>
      <w:bookmarkEnd w:id="47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17014"/>
      <w:r>
        <w:rPr>
          <w:kern w:val="2"/>
          <w:szCs w:val="24"/>
          <w:lang w:val="en-US"/>
        </w:rPr>
        <w:t>房间类型</w:t>
      </w:r>
      <w:bookmarkEnd w:id="48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9" w:name="_Toc32691"/>
      <w:r>
        <w:rPr>
          <w:kern w:val="2"/>
          <w:szCs w:val="24"/>
          <w:lang w:val="en-US"/>
        </w:rPr>
        <w:t>房间表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0" w:name="_Toc2763"/>
      <w:r>
        <w:rPr>
          <w:kern w:val="2"/>
          <w:szCs w:val="24"/>
          <w:lang w:val="en-US"/>
        </w:rPr>
        <w:t>作息时间表</w:t>
      </w:r>
      <w:bookmarkEnd w:id="5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1" w:name="_Toc2761"/>
      <w:r>
        <w:rPr>
          <w:kern w:val="2"/>
          <w:szCs w:val="24"/>
          <w:lang w:val="en-US"/>
        </w:rPr>
        <w:t>系统类型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单元式房间空调器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19348.40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2" w:name="_Toc10738"/>
      <w:r>
        <w:rPr>
          <w:kern w:val="2"/>
          <w:szCs w:val="24"/>
          <w:lang w:val="en-US"/>
        </w:rPr>
        <w:t>制冷系统</w:t>
      </w:r>
      <w:bookmarkEnd w:id="5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3" w:name="_Toc9788"/>
      <w:r>
        <w:rPr>
          <w:kern w:val="2"/>
          <w:szCs w:val="24"/>
          <w:lang w:val="en-US"/>
        </w:rPr>
        <w:t>供暖系统</w:t>
      </w:r>
      <w:bookmarkEnd w:id="53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4" w:name="_Toc16001"/>
      <w:r>
        <w:rPr>
          <w:kern w:val="2"/>
          <w:szCs w:val="24"/>
          <w:lang w:val="en-US"/>
        </w:rPr>
        <w:t>热水锅炉系统</w:t>
      </w:r>
      <w:bookmarkEnd w:id="54"/>
    </w:p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28"/>
        <w:gridCol w:w="1141"/>
        <w:gridCol w:w="1273"/>
        <w:gridCol w:w="1415"/>
        <w:gridCol w:w="137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11"/>
        <w:gridCol w:w="1131"/>
        <w:gridCol w:w="2014"/>
        <w:gridCol w:w="2331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轴功率(kW)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供回水温差(°C)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设计工作点效率(%)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0.0320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0.0160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750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0.0107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5" w:name="_Toc16115"/>
      <w:r>
        <w:rPr>
          <w:kern w:val="2"/>
          <w:szCs w:val="24"/>
          <w:lang w:val="en-US"/>
        </w:rPr>
        <w:t>照明</w:t>
      </w:r>
      <w:bookmarkEnd w:id="5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130</w:t>
            </w:r>
          </w:p>
        </w:tc>
        <w:tc>
          <w:tcPr>
            <w:vAlign w:val="center"/>
          </w:tcPr>
          <w:p>
            <w:r>
              <w:t>20325</w:t>
            </w:r>
          </w:p>
        </w:tc>
        <w:tc>
          <w:tcPr>
            <w:vAlign w:val="center"/>
          </w:tcPr>
          <w:p>
            <w:r>
              <w:t>548774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548774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6" w:name="_Toc20421"/>
      <w:r>
        <w:rPr>
          <w:kern w:val="2"/>
          <w:szCs w:val="24"/>
          <w:lang w:val="en-US"/>
        </w:rPr>
        <w:t>生活热水</w:t>
      </w:r>
      <w:bookmarkEnd w:id="5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热水温差(℃)：45, 日照辐照量(kJ/㎡.天)：16340，年运行天数：256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23816"/>
      <w:r>
        <w:rPr>
          <w:kern w:val="2"/>
          <w:szCs w:val="24"/>
          <w:lang w:val="en-US"/>
        </w:rPr>
        <w:t>电梯</w:t>
      </w:r>
      <w:bookmarkEnd w:id="5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8" w:name="_Toc21382"/>
      <w:r>
        <w:rPr>
          <w:kern w:val="2"/>
          <w:szCs w:val="24"/>
          <w:lang w:val="en-US"/>
        </w:rPr>
        <w:t>光伏发电</w:t>
      </w:r>
      <w:bookmarkEnd w:id="5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9" w:name="_Toc15593"/>
      <w:r>
        <w:rPr>
          <w:kern w:val="2"/>
          <w:szCs w:val="24"/>
          <w:lang w:val="en-US"/>
        </w:rPr>
        <w:t>基准建筑</w:t>
      </w:r>
      <w:bookmarkEnd w:id="59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25368"/>
      <w:r>
        <w:rPr>
          <w:kern w:val="2"/>
          <w:szCs w:val="24"/>
          <w:lang w:val="en-US"/>
        </w:rPr>
        <w:t>房间类型</w:t>
      </w:r>
      <w:bookmarkEnd w:id="60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1" w:name="_Toc11956"/>
      <w:r>
        <w:rPr>
          <w:kern w:val="2"/>
          <w:szCs w:val="24"/>
          <w:lang w:val="en-US"/>
        </w:rPr>
        <w:t>房间表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2" w:name="_Toc8662"/>
      <w:r>
        <w:rPr>
          <w:kern w:val="2"/>
          <w:szCs w:val="24"/>
          <w:lang w:val="en-US"/>
        </w:rPr>
        <w:t>作息时间表</w:t>
      </w:r>
      <w:bookmarkEnd w:id="6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3" w:name="_Toc21827"/>
      <w:r>
        <w:rPr>
          <w:kern w:val="2"/>
          <w:szCs w:val="24"/>
          <w:lang w:val="en-US"/>
        </w:rPr>
        <w:t>系统类型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19348.40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4" w:name="_Toc10351"/>
      <w:r>
        <w:rPr>
          <w:kern w:val="2"/>
          <w:szCs w:val="24"/>
          <w:lang w:val="en-US"/>
        </w:rPr>
        <w:t>制冷系统</w:t>
      </w:r>
      <w:bookmarkEnd w:id="64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5" w:name="_Toc27331"/>
      <w:r>
        <w:rPr>
          <w:kern w:val="2"/>
          <w:szCs w:val="24"/>
          <w:lang w:val="en-US"/>
        </w:rPr>
        <w:t>冷水机组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26"/>
        <w:gridCol w:w="1115"/>
        <w:gridCol w:w="1115"/>
        <w:gridCol w:w="401"/>
        <w:gridCol w:w="979"/>
        <w:gridCol w:w="1381"/>
        <w:gridCol w:w="8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</w:t>
            </w:r>
            <w:r>
              <w:br w:type="textWrapping"/>
            </w:r>
            <w:r>
              <w:t>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</w:t>
            </w:r>
            <w:r>
              <w:br w:type="textWrapping"/>
            </w:r>
            <w:r>
              <w:t>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</w:t>
            </w:r>
            <w:r>
              <w:br w:type="textWrapping"/>
            </w:r>
            <w:r>
              <w:t>数(IPLV)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6" w:name="_Toc9140"/>
      <w:r>
        <w:rPr>
          <w:kern w:val="2"/>
          <w:szCs w:val="24"/>
          <w:lang w:val="en-US"/>
        </w:rPr>
        <w:t>冷却水泵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556"/>
        <w:gridCol w:w="1415"/>
        <w:gridCol w:w="1697"/>
        <w:gridCol w:w="1556"/>
        <w:gridCol w:w="14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冷水机组性能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7" w:name="_Toc7878"/>
      <w:r>
        <w:rPr>
          <w:kern w:val="2"/>
          <w:szCs w:val="24"/>
          <w:lang w:val="en-US"/>
        </w:rPr>
        <w:t>冷冻水泵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8" w:name="_Toc2765"/>
      <w:r>
        <w:rPr>
          <w:kern w:val="2"/>
          <w:szCs w:val="24"/>
          <w:lang w:val="en-US"/>
        </w:rPr>
        <w:t>供暖系统</w:t>
      </w:r>
      <w:bookmarkEnd w:id="68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69" w:name="_Toc565"/>
      <w:r>
        <w:rPr>
          <w:kern w:val="2"/>
          <w:szCs w:val="24"/>
          <w:lang w:val="en-US"/>
        </w:rPr>
        <w:t>热水锅炉能耗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6"/>
        <w:gridCol w:w="1166"/>
        <w:gridCol w:w="1166"/>
        <w:gridCol w:w="1732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70" w:name="_Toc12273"/>
      <w:r>
        <w:rPr>
          <w:kern w:val="2"/>
          <w:szCs w:val="24"/>
          <w:lang w:val="en-US"/>
        </w:rPr>
        <w:t>热水循环水泵能耗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锅炉制热量(kW)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0.00865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1" w:name="_Toc22418"/>
      <w:r>
        <w:rPr>
          <w:kern w:val="2"/>
          <w:szCs w:val="24"/>
          <w:lang w:val="en-US"/>
        </w:rPr>
        <w:t>照明</w:t>
      </w:r>
      <w:bookmarkEnd w:id="7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27.00</w:t>
            </w:r>
          </w:p>
        </w:tc>
        <w:tc>
          <w:tcPr>
            <w:vAlign w:val="center"/>
          </w:tcPr>
          <w:p>
            <w:r>
              <w:t>130</w:t>
            </w:r>
          </w:p>
        </w:tc>
        <w:tc>
          <w:tcPr>
            <w:vAlign w:val="center"/>
          </w:tcPr>
          <w:p>
            <w:r>
              <w:t>20325</w:t>
            </w:r>
          </w:p>
        </w:tc>
        <w:tc>
          <w:tcPr>
            <w:vAlign w:val="center"/>
          </w:tcPr>
          <w:p>
            <w:r>
              <w:t>548774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548774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2" w:name="_Toc18463"/>
      <w:r>
        <w:rPr>
          <w:kern w:val="2"/>
          <w:szCs w:val="24"/>
          <w:lang w:val="en-US"/>
        </w:rPr>
        <w:t>生活热水</w:t>
      </w:r>
      <w:bookmarkEnd w:id="7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热水温差(℃)：45, 日照辐照量(kJ/㎡.天)：16340，年运行天数：256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3" w:name="_Toc4699"/>
      <w:r>
        <w:rPr>
          <w:kern w:val="2"/>
          <w:szCs w:val="24"/>
          <w:lang w:val="en-US"/>
        </w:rPr>
        <w:t>电梯</w:t>
      </w:r>
      <w:bookmarkEnd w:id="7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4" w:name="_Toc10603"/>
      <w:r>
        <w:rPr>
          <w:kern w:val="2"/>
          <w:szCs w:val="24"/>
          <w:lang w:val="en-US"/>
        </w:rPr>
        <w:t>能效计算</w:t>
      </w:r>
      <w:bookmarkEnd w:id="74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47"/>
        <w:gridCol w:w="1629"/>
        <w:gridCol w:w="1629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基准建筑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节能率</w:t>
            </w:r>
            <w:bookmarkEnd w:id="2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4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6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7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3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8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0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2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4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5" w:name="热水泵能耗"/>
            <w:r>
              <w:rPr>
                <w:lang w:val="en-US"/>
              </w:rPr>
              <w:t>0.00</w:t>
            </w:r>
            <w:bookmarkEnd w:id="7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8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0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_GoBack"/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1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32"/>
          </w:p>
        </w:tc>
      </w:tr>
      <w:bookmarkEnd w:id="10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3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6" w:name="参照建筑照明能耗"/>
            <w:r>
              <w:rPr>
                <w:lang w:val="en-US"/>
              </w:rPr>
              <w:t>0.00</w:t>
            </w:r>
            <w:bookmarkEnd w:id="76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7" w:name="节能率其他能耗"/>
            <w:r>
              <w:rPr>
                <w:rFonts w:hint="eastAsia"/>
                <w:lang w:val="en-US"/>
              </w:rPr>
              <w:t>-</w:t>
            </w:r>
            <w:bookmarkEnd w:id="7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8" w:name="热水系统能耗"/>
            <w:r>
              <w:rPr>
                <w:lang w:val="en-US"/>
              </w:rPr>
              <w:t>0.00</w:t>
            </w:r>
            <w:bookmarkEnd w:id="7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9" w:name="参照建筑热水系统能耗"/>
            <w:r>
              <w:rPr>
                <w:lang w:val="en-US"/>
              </w:rPr>
              <w:t>0.00</w:t>
            </w:r>
            <w:bookmarkEnd w:id="79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0" w:name="动力系统能耗"/>
            <w:r>
              <w:rPr>
                <w:lang w:val="en-US"/>
              </w:rPr>
              <w:t>0.00</w:t>
            </w:r>
            <w:bookmarkEnd w:id="8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1" w:name="参照建筑动力系统能耗"/>
            <w:r>
              <w:rPr>
                <w:lang w:val="en-US"/>
              </w:rPr>
              <w:t>0.00</w:t>
            </w:r>
            <w:bookmarkEnd w:id="81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2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3" w:name="建筑本体能耗"/>
            <w:r>
              <w:rPr>
                <w:rFonts w:hint="eastAsia"/>
                <w:lang w:val="en-US"/>
              </w:rPr>
              <w:t>0.00</w:t>
            </w:r>
            <w:bookmarkEnd w:id="8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4" w:name="参照建筑建筑本体能耗"/>
            <w:r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5" w:name="节能率建筑本体能耗"/>
            <w:r>
              <w:rPr>
                <w:rFonts w:hint="eastAsia"/>
                <w:lang w:val="en-US"/>
              </w:rPr>
              <w:t>-</w:t>
            </w:r>
            <w:bookmarkEnd w:id="85"/>
          </w:p>
        </w:tc>
      </w:tr>
      <w:bookmarkEnd w:id="8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6" w:name="_GoBack"/>
            <w:bookmarkEnd w:id="86"/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太阳能能耗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42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光伏能耗"/>
            <w:r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42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可再生能源能耗"/>
            <w:r>
              <w:rPr>
                <w:rFonts w:hint="eastAsia"/>
                <w:lang w:val="en-US"/>
              </w:rPr>
              <w:t>0.00</w:t>
            </w:r>
            <w:bookmarkEnd w:id="8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建筑综合能耗"/>
            <w:r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参照建筑建筑综合能耗"/>
            <w:r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节能率建筑综合能耗"/>
            <w:r>
              <w:rPr>
                <w:rFonts w:hint="eastAsia"/>
                <w:lang w:val="en-US"/>
              </w:rPr>
              <w:t>-</w:t>
            </w:r>
            <w:bookmarkEnd w:id="9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714" w:type="pct"/>
            <w:gridSpan w:val="3"/>
            <w:vAlign w:val="center"/>
          </w:tcPr>
          <w:p>
            <w:pPr>
              <w:ind w:firstLine="0" w:firstLineChars="0"/>
              <w:jc w:val="left"/>
              <w:rPr>
                <w:lang w:val="en-US"/>
              </w:rPr>
            </w:pPr>
            <w:bookmarkStart w:id="93" w:name="标准依据"/>
            <w:r>
              <w:rPr>
                <w:rFonts w:hint="eastAsia"/>
              </w:rPr>
              <w:t>《近零能耗建筑技术标准》(GB/T51350-2019)表5.0.4</w:t>
            </w:r>
            <w:bookmarkEnd w:id="9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714" w:type="pct"/>
            <w:gridSpan w:val="3"/>
            <w:vAlign w:val="center"/>
          </w:tcPr>
          <w:p>
            <w:pPr>
              <w:ind w:firstLine="0" w:firstLineChars="0"/>
              <w:jc w:val="left"/>
              <w:rPr>
                <w:lang w:val="en-US"/>
              </w:rPr>
            </w:pPr>
            <w:bookmarkStart w:id="94" w:name="标准要求"/>
            <w:r>
              <w:rPr>
                <w:rFonts w:hint="eastAsia"/>
              </w:rPr>
              <w:t>建筑综合节能率应≥50%; 建筑本体节能率应符合表5.0.4的要求</w:t>
            </w:r>
            <w:bookmarkEnd w:id="9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714" w:type="pct"/>
            <w:gridSpan w:val="3"/>
            <w:vAlign w:val="center"/>
          </w:tcPr>
          <w:p>
            <w:pPr>
              <w:ind w:firstLine="0" w:firstLineChars="0"/>
              <w:jc w:val="left"/>
              <w:rPr>
                <w:lang w:val="en-US"/>
              </w:rPr>
            </w:pPr>
            <w:bookmarkStart w:id="95" w:name="结论"/>
            <w:r>
              <w:rPr>
                <w:rFonts w:hint="eastAsia"/>
                <w:color w:val="auto"/>
              </w:rPr>
              <w:t>满足</w:t>
            </w:r>
            <w:bookmarkEnd w:id="95"/>
          </w:p>
        </w:tc>
      </w:tr>
    </w:tbl>
    <w:p/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能耗分项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需求量(kWh/㎡)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可再生能源利用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利用量(热量) (kWh/㎡)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耗冷量Qc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耗热量Qh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shd w:val="clear" w:color="auto" w:fill="E6E6E6"/>
            <w:vAlign w:val="center"/>
          </w:tcPr>
          <w:p>
            <w:r>
              <w:t>地源\空气源EPh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生活热水耗热量Qw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shd w:val="clear" w:color="auto" w:fill="E6E6E6"/>
            <w:vAlign w:val="center"/>
          </w:tcPr>
          <w:p>
            <w:r>
              <w:t>太阳能供热EPw,sol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照明能耗Ql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shd w:val="clear" w:color="auto" w:fill="E6E6E6"/>
            <w:vAlign w:val="center"/>
          </w:tcPr>
          <w:p>
            <w:r>
              <w:t>光伏发电Er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电梯能耗Qe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可再生利用率</w:t>
            </w:r>
          </w:p>
        </w:tc>
        <w:tc>
          <w:tcPr>
            <w:gridSpan w:val="3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计算依据</w:t>
            </w:r>
          </w:p>
        </w:tc>
        <w:tc>
          <w:tcPr>
            <w:gridSpan w:val="3"/>
            <w:vAlign w:val="center"/>
          </w:tcPr>
          <w:p>
            <w:r>
              <w:t>《近零能耗建筑技术标准》第A.1.7条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96" w:name="_Toc26268"/>
      <w:r>
        <w:rPr>
          <w:kern w:val="2"/>
          <w:szCs w:val="24"/>
          <w:lang w:val="en-US"/>
        </w:rPr>
        <w:t>附录</w:t>
      </w:r>
      <w:bookmarkEnd w:id="96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97" w:name="_Toc15575"/>
      <w:r>
        <w:rPr>
          <w:kern w:val="2"/>
          <w:szCs w:val="24"/>
          <w:lang w:val="en-US"/>
        </w:rPr>
        <w:t>工作日/节假日人员逐时在室率(%)</w:t>
      </w:r>
      <w:bookmarkEnd w:id="9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r>
        <w:t>注：上行：工作日；下行：节假日</w:t>
      </w:r>
    </w:p>
    <w:p>
      <w:pPr>
        <w:pStyle w:val="4"/>
      </w:pPr>
      <w:bookmarkStart w:id="98" w:name="_Toc4587"/>
      <w:r>
        <w:t>工作日/节假日照明开关时间表(%)</w:t>
      </w:r>
      <w:bookmarkEnd w:id="9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99" w:name="_Toc18388"/>
      <w:r>
        <w:t>工作日/节假日设备逐时使用率(%)</w:t>
      </w:r>
      <w:bookmarkEnd w:id="99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00" w:name="_Toc4447"/>
      <w:r>
        <w:t>工作日/节假日空调系统运行时间表(1:开,0:关)</w:t>
      </w:r>
      <w:bookmarkEnd w:id="100"/>
    </w:p>
    <w:p/>
    <w:bookmarkEnd w:id="0"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545012D8"/>
    <w:rsid w:val="73D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建筑能效计算报告书.dotx</Template>
  <Company>ths</Company>
  <Pages>4</Pages>
  <Words>904</Words>
  <Characters>5158</Characters>
  <Lines>42</Lines>
  <Paragraphs>12</Paragraphs>
  <TotalTime>1</TotalTime>
  <ScaleCrop>false</ScaleCrop>
  <LinksUpToDate>false</LinksUpToDate>
  <CharactersWithSpaces>6050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2018-04-25T07:59:00Z</dcterms:created>
  <dc:creator>lilikui</dc:creator>
  <cp:lastModifiedBy>woodenfish</cp:lastModifiedBy>
  <cp:lastPrinted>2411-12-31T16:00:00Z</cp:lastPrinted>
  <dcterms:modified xsi:type="dcterms:W3CDTF">2022-01-05T21:47:39Z</dcterms:modified>
  <dc:title>低能耗建筑能效评估报告书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87F8064A5243495FAC49F126517AD2D2</vt:lpwstr>
  </property>
</Properties>
</file>