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</w:rPr>
      </w:pPr>
    </w:p>
    <w:p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_Toc480186059"/>
      <w:bookmarkStart w:id="1" w:name="_Toc480186121"/>
      <w:r>
        <w:rPr>
          <w:rFonts w:hint="eastAsia" w:ascii="黑体" w:hAnsi="宋体" w:eastAsia="黑体"/>
          <w:b/>
          <w:bCs/>
          <w:sz w:val="72"/>
          <w:szCs w:val="72"/>
        </w:rPr>
        <w:t>防潮验算计算书</w:t>
      </w:r>
      <w:bookmarkEnd w:id="0"/>
      <w:bookmarkEnd w:id="1"/>
    </w:p>
    <w:p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hint="eastAsia" w:ascii="宋体" w:hAnsi="宋体"/>
          <w:bCs/>
          <w:sz w:val="44"/>
          <w:szCs w:val="44"/>
        </w:rPr>
        <w:t>居住建筑</w:t>
      </w:r>
      <w:bookmarkEnd w:id="2"/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5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bookmarkStart w:id="3" w:name="项目名称"/>
            <w:bookmarkEnd w:id="3"/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风休住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云南昆明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年12月15日</w:t>
            </w:r>
            <w:bookmarkEnd w:id="7"/>
          </w:p>
        </w:tc>
      </w:tr>
    </w:tbl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ascii="宋体" w:hAnsi="宋体"/>
          <w:b/>
          <w:bCs/>
          <w:sz w:val="18"/>
          <w:szCs w:val="18"/>
        </w:rPr>
      </w:pPr>
      <w:bookmarkStart w:id="8" w:name="二维码"/>
      <w:bookmarkEnd w:id="8"/>
      <w:r>
        <w:drawing>
          <wp:inline distT="0" distB="0" distL="0" distR="0">
            <wp:extent cx="1514475" cy="1514475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9" w:name="软件全称"/>
            <w:r>
              <w:t>斯维尔节能设计BECS2020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>
              <w:rPr>
                <w:rFonts w:hint="eastAsia" w:ascii="宋体" w:hAnsi="宋体"/>
                <w:szCs w:val="18"/>
              </w:rPr>
              <w:t>202</w:t>
            </w:r>
            <w:r>
              <w:rPr>
                <w:rFonts w:hint="eastAsia" w:ascii="宋体" w:hAnsi="宋体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18"/>
              </w:rPr>
              <w:t>0</w:t>
            </w:r>
            <w:bookmarkEnd w:id="10"/>
            <w:r>
              <w:rPr>
                <w:rFonts w:ascii="宋体" w:hAnsi="宋体"/>
                <w:szCs w:val="18"/>
              </w:rPr>
              <w:t>505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</w:p>
        </w:tc>
      </w:tr>
    </w:tbl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目  录</w:t>
      </w:r>
    </w:p>
    <w:p>
      <w:pPr>
        <w:pStyle w:val="17"/>
        <w:tabs>
          <w:tab w:val="left" w:pos="420"/>
          <w:tab w:val="right" w:leader="dot" w:pos="9010"/>
        </w:tabs>
      </w:pPr>
    </w:p>
    <w:p/>
    <w:p>
      <w:pPr>
        <w:pStyle w:val="17"/>
        <w:tabs>
          <w:tab w:val="left" w:pos="420"/>
          <w:tab w:val="right" w:leader="dot" w:pos="9016"/>
        </w:tabs>
        <w:rPr>
          <w:rFonts w:asciiTheme="minorHAnsi" w:hAnsiTheme="minorHAnsi" w:eastAsiaTheme="minorEastAsia" w:cstheme="minorBidi"/>
          <w:b w:val="0"/>
          <w:szCs w:val="22"/>
        </w:rPr>
      </w:pPr>
      <w:bookmarkStart w:id="11" w:name="目录"/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"_Toc58923777" </w:instrText>
      </w:r>
      <w:r>
        <w:fldChar w:fldCharType="separate"/>
      </w:r>
      <w:r>
        <w:rPr>
          <w:rStyle w:val="24"/>
        </w:rPr>
        <w:t>1</w:t>
      </w:r>
      <w:r>
        <w:rPr>
          <w:rFonts w:asciiTheme="minorHAnsi" w:hAnsiTheme="minorHAnsi" w:eastAsiaTheme="minorEastAsia" w:cstheme="minorBidi"/>
          <w:b w:val="0"/>
          <w:szCs w:val="22"/>
        </w:rPr>
        <w:tab/>
      </w:r>
      <w:r>
        <w:rPr>
          <w:rStyle w:val="24"/>
        </w:rPr>
        <w:t>建筑概况</w:t>
      </w:r>
      <w:r>
        <w:tab/>
      </w:r>
      <w:r>
        <w:fldChar w:fldCharType="begin"/>
      </w:r>
      <w:r>
        <w:instrText xml:space="preserve"> PAGEREF _Toc58923777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left" w:pos="420"/>
          <w:tab w:val="right" w:leader="dot" w:pos="9016"/>
        </w:tabs>
        <w:rPr>
          <w:rFonts w:asciiTheme="minorHAnsi" w:hAnsiTheme="minorHAnsi" w:eastAsiaTheme="minorEastAsia" w:cstheme="minorBidi"/>
          <w:b w:val="0"/>
          <w:szCs w:val="22"/>
        </w:rPr>
      </w:pPr>
      <w:r>
        <w:fldChar w:fldCharType="begin"/>
      </w:r>
      <w:r>
        <w:instrText xml:space="preserve"> HYPERLINK \l "_Toc58923778" </w:instrText>
      </w:r>
      <w:r>
        <w:fldChar w:fldCharType="separate"/>
      </w:r>
      <w:r>
        <w:rPr>
          <w:rStyle w:val="24"/>
        </w:rPr>
        <w:t>2</w:t>
      </w:r>
      <w:r>
        <w:rPr>
          <w:rFonts w:asciiTheme="minorHAnsi" w:hAnsiTheme="minorHAnsi" w:eastAsiaTheme="minorEastAsia" w:cstheme="minorBidi"/>
          <w:b w:val="0"/>
          <w:szCs w:val="22"/>
        </w:rPr>
        <w:tab/>
      </w:r>
      <w:r>
        <w:rPr>
          <w:rStyle w:val="24"/>
        </w:rPr>
        <w:t>评价依据</w:t>
      </w:r>
      <w:r>
        <w:tab/>
      </w:r>
      <w:r>
        <w:fldChar w:fldCharType="begin"/>
      </w:r>
      <w:r>
        <w:instrText xml:space="preserve"> PAGEREF _Toc58923778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"_Toc58923779" </w:instrText>
      </w:r>
      <w:r>
        <w:fldChar w:fldCharType="separate"/>
      </w:r>
      <w:r>
        <w:rPr>
          <w:rStyle w:val="24"/>
          <w:lang w:val="en-GB"/>
        </w:rPr>
        <w:t>2.1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评价目标</w:t>
      </w:r>
      <w:r>
        <w:tab/>
      </w:r>
      <w:r>
        <w:fldChar w:fldCharType="begin"/>
      </w:r>
      <w:r>
        <w:instrText xml:space="preserve"> PAGEREF _Toc58923779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"_Toc58923780" </w:instrText>
      </w:r>
      <w:r>
        <w:fldChar w:fldCharType="separate"/>
      </w:r>
      <w:r>
        <w:rPr>
          <w:rStyle w:val="24"/>
          <w:lang w:val="en-GB"/>
        </w:rPr>
        <w:t>2.2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评价方法</w:t>
      </w:r>
      <w:r>
        <w:tab/>
      </w:r>
      <w:r>
        <w:fldChar w:fldCharType="begin"/>
      </w:r>
      <w:r>
        <w:instrText xml:space="preserve"> PAGEREF _Toc58923780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left" w:pos="420"/>
          <w:tab w:val="right" w:leader="dot" w:pos="9016"/>
        </w:tabs>
        <w:rPr>
          <w:rFonts w:asciiTheme="minorHAnsi" w:hAnsiTheme="minorHAnsi" w:eastAsiaTheme="minorEastAsia" w:cstheme="minorBidi"/>
          <w:b w:val="0"/>
          <w:szCs w:val="22"/>
        </w:rPr>
      </w:pPr>
      <w:r>
        <w:fldChar w:fldCharType="begin"/>
      </w:r>
      <w:r>
        <w:instrText xml:space="preserve"> HYPERLINK \l "_Toc58923781" </w:instrText>
      </w:r>
      <w:r>
        <w:fldChar w:fldCharType="separate"/>
      </w:r>
      <w:r>
        <w:rPr>
          <w:rStyle w:val="24"/>
        </w:rPr>
        <w:t>3</w:t>
      </w:r>
      <w:r>
        <w:rPr>
          <w:rFonts w:asciiTheme="minorHAnsi" w:hAnsiTheme="minorHAnsi" w:eastAsiaTheme="minorEastAsia" w:cstheme="minorBidi"/>
          <w:b w:val="0"/>
          <w:szCs w:val="22"/>
        </w:rPr>
        <w:tab/>
      </w:r>
      <w:r>
        <w:rPr>
          <w:rStyle w:val="24"/>
        </w:rPr>
        <w:t>防潮验算计算过程</w:t>
      </w:r>
      <w:r>
        <w:tab/>
      </w:r>
      <w:r>
        <w:fldChar w:fldCharType="begin"/>
      </w:r>
      <w:r>
        <w:instrText xml:space="preserve"> PAGEREF _Toc58923781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"_Toc58923782" </w:instrText>
      </w:r>
      <w:r>
        <w:fldChar w:fldCharType="separate"/>
      </w:r>
      <w:r>
        <w:rPr>
          <w:rStyle w:val="24"/>
          <w:lang w:val="en-GB"/>
        </w:rPr>
        <w:t>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计算条件</w:t>
      </w:r>
      <w:r>
        <w:tab/>
      </w:r>
      <w:r>
        <w:fldChar w:fldCharType="begin"/>
      </w:r>
      <w:r>
        <w:instrText xml:space="preserve"> PAGEREF _Toc58923782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"_Toc58923783" </w:instrText>
      </w:r>
      <w:r>
        <w:fldChar w:fldCharType="separate"/>
      </w:r>
      <w:r>
        <w:rPr>
          <w:rStyle w:val="24"/>
          <w:lang w:val="en-GB"/>
        </w:rPr>
        <w:t>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平屋面 挤塑聚苯板170</w:t>
      </w:r>
      <w:r>
        <w:tab/>
      </w:r>
      <w:r>
        <w:fldChar w:fldCharType="begin"/>
      </w:r>
      <w:r>
        <w:instrText xml:space="preserve"> PAGEREF _Toc58923783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"_Toc58923784" </w:instrText>
      </w:r>
      <w:r>
        <w:fldChar w:fldCharType="separate"/>
      </w:r>
      <w:r>
        <w:rPr>
          <w:rStyle w:val="24"/>
          <w:lang w:val="en-GB"/>
        </w:rPr>
        <w:t>3.2.1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冷凝计算界面至围护结构内表面之间的热阻</w:t>
      </w:r>
      <w:r>
        <w:object>
          <v:shape id="_x0000_i1025" o:spt="75" type="#_x0000_t75" style="height:13.5pt;width:19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tab/>
      </w:r>
      <w:r>
        <w:fldChar w:fldCharType="begin"/>
      </w:r>
      <w:r>
        <w:instrText xml:space="preserve"> PAGEREF _Toc58923784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"_Toc58923785" </w:instrText>
      </w:r>
      <w:r>
        <w:fldChar w:fldCharType="separate"/>
      </w:r>
      <w:r>
        <w:rPr>
          <w:rStyle w:val="24"/>
          <w:lang w:val="en-GB"/>
        </w:rPr>
        <w:t>3.2.2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冷凝计算界面温度</w:t>
      </w:r>
      <w:r>
        <w:rPr>
          <w:position w:val="-6"/>
        </w:rPr>
        <w:object>
          <v:shape id="_x0000_i1026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tab/>
      </w:r>
      <w:r>
        <w:fldChar w:fldCharType="begin"/>
      </w:r>
      <w:r>
        <w:instrText xml:space="preserve"> PAGEREF _Toc58923785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"_Toc58923786" </w:instrText>
      </w:r>
      <w:r>
        <w:fldChar w:fldCharType="separate"/>
      </w:r>
      <w:r>
        <w:rPr>
          <w:rStyle w:val="24"/>
          <w:lang w:val="en-GB"/>
        </w:rPr>
        <w:t>3.2.3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围护结构冷凝受潮验算</w:t>
      </w:r>
      <w:r>
        <w:tab/>
      </w:r>
      <w:r>
        <w:fldChar w:fldCharType="begin"/>
      </w:r>
      <w:r>
        <w:instrText xml:space="preserve"> PAGEREF _Toc58923786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"_Toc58923787" </w:instrText>
      </w:r>
      <w:r>
        <w:fldChar w:fldCharType="separate"/>
      </w:r>
      <w:r>
        <w:rPr>
          <w:rStyle w:val="24"/>
          <w:lang w:val="en-GB"/>
        </w:rPr>
        <w:t>3.3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混凝土剪力墙200+挤塑聚苯板80</w:t>
      </w:r>
      <w:r>
        <w:tab/>
      </w:r>
      <w:r>
        <w:fldChar w:fldCharType="begin"/>
      </w:r>
      <w:r>
        <w:instrText xml:space="preserve"> PAGEREF _Toc58923787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"_Toc58923788" </w:instrText>
      </w:r>
      <w:r>
        <w:fldChar w:fldCharType="separate"/>
      </w:r>
      <w:r>
        <w:rPr>
          <w:rStyle w:val="24"/>
          <w:lang w:val="en-GB"/>
        </w:rPr>
        <w:t>3.3.1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冷凝计算界面至围护结构内表面之间的热阻</w:t>
      </w:r>
      <w:r>
        <w:pict>
          <v:shape id="_x0000_i1027" o:spt="75" type="#_x0000_t75" style="height:13.5pt;width:19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tab/>
      </w:r>
      <w:r>
        <w:fldChar w:fldCharType="begin"/>
      </w:r>
      <w:r>
        <w:instrText xml:space="preserve"> PAGEREF _Toc58923788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"_Toc58923789" </w:instrText>
      </w:r>
      <w:r>
        <w:fldChar w:fldCharType="separate"/>
      </w:r>
      <w:r>
        <w:rPr>
          <w:rStyle w:val="24"/>
          <w:lang w:val="en-GB"/>
        </w:rPr>
        <w:t>3.3.2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冷凝计算界面温度</w:t>
      </w:r>
      <w:r>
        <w:rPr>
          <w:position w:val="-6"/>
        </w:rPr>
        <w:pict>
          <v:shape id="_x0000_i1028" o:spt="75" type="#_x0000_t75" style="height:13.5pt;width:13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tab/>
      </w:r>
      <w:r>
        <w:fldChar w:fldCharType="begin"/>
      </w:r>
      <w:r>
        <w:instrText xml:space="preserve"> PAGEREF _Toc58923789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"_Toc58923790" </w:instrText>
      </w:r>
      <w:r>
        <w:fldChar w:fldCharType="separate"/>
      </w:r>
      <w:r>
        <w:rPr>
          <w:rStyle w:val="24"/>
          <w:lang w:val="en-GB"/>
        </w:rPr>
        <w:t>3.3.3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围护结构冷凝受潮验算</w:t>
      </w:r>
      <w:r>
        <w:tab/>
      </w:r>
      <w:r>
        <w:fldChar w:fldCharType="begin"/>
      </w:r>
      <w:r>
        <w:instrText xml:space="preserve"> PAGEREF _Toc58923790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"_Toc58923791" </w:instrText>
      </w:r>
      <w:r>
        <w:fldChar w:fldCharType="separate"/>
      </w:r>
      <w:r>
        <w:rPr>
          <w:rStyle w:val="24"/>
          <w:lang w:val="en-GB"/>
        </w:rPr>
        <w:t>3.4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阳台隔墙构造一</w:t>
      </w:r>
      <w:r>
        <w:tab/>
      </w:r>
      <w:r>
        <w:fldChar w:fldCharType="begin"/>
      </w:r>
      <w:r>
        <w:instrText xml:space="preserve"> PAGEREF _Toc58923791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"_Toc58923792" </w:instrText>
      </w:r>
      <w:r>
        <w:fldChar w:fldCharType="separate"/>
      </w:r>
      <w:r>
        <w:rPr>
          <w:rStyle w:val="24"/>
          <w:lang w:val="en-GB"/>
        </w:rPr>
        <w:t>3.4.1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冷凝计算界面至围护结构内表面之间的热阻</w:t>
      </w:r>
      <w:r>
        <w:pict>
          <v:shape id="_x0000_i1029" o:spt="75" type="#_x0000_t75" style="height:13.5pt;width:19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tab/>
      </w:r>
      <w:r>
        <w:fldChar w:fldCharType="begin"/>
      </w:r>
      <w:r>
        <w:instrText xml:space="preserve"> PAGEREF _Toc58923792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"_Toc58923793" </w:instrText>
      </w:r>
      <w:r>
        <w:fldChar w:fldCharType="separate"/>
      </w:r>
      <w:r>
        <w:rPr>
          <w:rStyle w:val="24"/>
          <w:lang w:val="en-GB"/>
        </w:rPr>
        <w:t>3.4.2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冷凝计算界面温度</w:t>
      </w:r>
      <w:r>
        <w:rPr>
          <w:position w:val="-6"/>
        </w:rPr>
        <w:pict>
          <v:shape id="_x0000_i1030" o:spt="75" type="#_x0000_t75" style="height:13.5pt;width:13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tab/>
      </w:r>
      <w:r>
        <w:fldChar w:fldCharType="begin"/>
      </w:r>
      <w:r>
        <w:instrText xml:space="preserve"> PAGEREF _Toc58923793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"_Toc58923794" </w:instrText>
      </w:r>
      <w:r>
        <w:fldChar w:fldCharType="separate"/>
      </w:r>
      <w:r>
        <w:rPr>
          <w:rStyle w:val="24"/>
          <w:lang w:val="en-GB"/>
        </w:rPr>
        <w:t>3.4.3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围护结构冷凝受潮验算</w:t>
      </w:r>
      <w:r>
        <w:tab/>
      </w:r>
      <w:r>
        <w:fldChar w:fldCharType="begin"/>
      </w:r>
      <w:r>
        <w:instrText xml:space="preserve"> PAGEREF _Toc58923794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left" w:pos="420"/>
          <w:tab w:val="right" w:leader="dot" w:pos="9016"/>
        </w:tabs>
        <w:rPr>
          <w:rFonts w:asciiTheme="minorHAnsi" w:hAnsiTheme="minorHAnsi" w:eastAsiaTheme="minorEastAsia" w:cstheme="minorBidi"/>
          <w:b w:val="0"/>
          <w:szCs w:val="22"/>
        </w:rPr>
      </w:pPr>
      <w:r>
        <w:fldChar w:fldCharType="begin"/>
      </w:r>
      <w:r>
        <w:instrText xml:space="preserve"> HYPERLINK \l "_Toc58923795" </w:instrText>
      </w:r>
      <w:r>
        <w:fldChar w:fldCharType="separate"/>
      </w:r>
      <w:r>
        <w:rPr>
          <w:rStyle w:val="24"/>
        </w:rPr>
        <w:t>4</w:t>
      </w:r>
      <w:r>
        <w:rPr>
          <w:rFonts w:asciiTheme="minorHAnsi" w:hAnsiTheme="minorHAnsi" w:eastAsiaTheme="minorEastAsia" w:cstheme="minorBidi"/>
          <w:b w:val="0"/>
          <w:szCs w:val="22"/>
        </w:rPr>
        <w:tab/>
      </w:r>
      <w:r>
        <w:rPr>
          <w:rStyle w:val="24"/>
        </w:rPr>
        <w:t>验算结论</w:t>
      </w:r>
      <w:r>
        <w:tab/>
      </w:r>
      <w:r>
        <w:fldChar w:fldCharType="begin"/>
      </w:r>
      <w:r>
        <w:instrText xml:space="preserve"> PAGEREF _Toc58923795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r>
        <w:fldChar w:fldCharType="end"/>
      </w:r>
      <w:bookmarkEnd w:id="11"/>
    </w:p>
    <w:p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>
      <w:pPr>
        <w:pStyle w:val="2"/>
        <w:spacing w:line="240" w:lineRule="atLeast"/>
      </w:pPr>
      <w:bookmarkStart w:id="12" w:name="_Toc480186122"/>
      <w:bookmarkStart w:id="13" w:name="_Toc316568035"/>
      <w:bookmarkStart w:id="14" w:name="_Toc480186060"/>
      <w:bookmarkStart w:id="15" w:name="_Toc480218444"/>
      <w:bookmarkStart w:id="16" w:name="_Toc58923777"/>
      <w:r>
        <w:rPr>
          <w:rFonts w:hint="eastAsia"/>
        </w:rPr>
        <w:t>建筑概况</w:t>
      </w:r>
      <w:bookmarkEnd w:id="12"/>
      <w:bookmarkEnd w:id="13"/>
      <w:bookmarkEnd w:id="14"/>
      <w:bookmarkEnd w:id="15"/>
      <w:bookmarkEnd w:id="16"/>
    </w:p>
    <w:tbl>
      <w:tblPr>
        <w:tblStyle w:val="20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3115"/>
        <w:gridCol w:w="31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bookmarkStart w:id="17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  <w:rPr>
                <w:rFonts w:hint="eastAsia" w:eastAsia="宋体"/>
                <w:lang w:val="en-US" w:eastAsia="zh-CN"/>
              </w:rPr>
            </w:pPr>
            <w:bookmarkStart w:id="18" w:name="工程名称"/>
            <w:bookmarkEnd w:id="18"/>
            <w:r>
              <w:rPr>
                <w:rFonts w:hint="eastAsia"/>
                <w:lang w:val="en-US" w:eastAsia="zh-CN"/>
              </w:rPr>
              <w:t>风休住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云南昆明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32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 w:ascii="宋体" w:hAnsi="宋体"/>
              </w:rPr>
              <w:t>北纬：</w:t>
            </w:r>
            <w:r>
              <w:rPr>
                <w:rFonts w:hint="eastAsia"/>
                <w:lang w:val="en-US" w:eastAsia="zh-CN"/>
              </w:rPr>
              <w:t>25.2</w:t>
            </w:r>
            <w:r>
              <w:rPr>
                <w:rFonts w:hint="eastAsia" w:ascii="宋体" w:hAnsi="宋体"/>
              </w:rPr>
              <w:t>°</w:t>
            </w:r>
          </w:p>
        </w:tc>
        <w:tc>
          <w:tcPr>
            <w:tcW w:w="3032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 w:ascii="宋体" w:hAnsi="宋体"/>
              </w:rPr>
              <w:t>东经：</w:t>
            </w:r>
            <w:r>
              <w:rPr>
                <w:rFonts w:hint="eastAsia"/>
                <w:lang w:val="en-US" w:eastAsia="zh-CN"/>
              </w:rPr>
              <w:t>120.45</w:t>
            </w:r>
            <w:r>
              <w:rPr>
                <w:rFonts w:hint="eastAsia" w:ascii="宋体" w:hAnsi="宋体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温和A区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r>
              <w:rPr>
                <w:rFonts w:hint="eastAsia"/>
                <w:lang w:val="en-US" w:eastAsia="zh-CN"/>
              </w:rPr>
              <w:t>26521.69</w:t>
            </w:r>
            <w:r>
              <w:rPr>
                <w:rFonts w:hint="eastAsia"/>
              </w:rPr>
              <w:t>㎡    地下</w:t>
            </w:r>
            <w:r>
              <w:rPr>
                <w:rFonts w:hint="eastAsia"/>
                <w:lang w:val="en-US" w:eastAsia="zh-CN"/>
              </w:rPr>
              <w:t>2000</w:t>
            </w:r>
            <w:r>
              <w:rPr>
                <w:rFonts w:hint="eastAsia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地上</w:t>
            </w:r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 xml:space="preserve">         地下</w:t>
            </w: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  <w:lang w:val="en-US" w:eastAsia="zh-CN"/>
              </w:rPr>
              <w:t>42</w:t>
            </w: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19" w:name="结构类型"/>
            <w:bookmarkEnd w:id="19"/>
            <w:r>
              <w:rPr>
                <w:rFonts w:hint="eastAsia"/>
                <w:lang w:val="en-US" w:eastAsia="zh-CN"/>
              </w:rPr>
              <w:t>框架</w:t>
            </w:r>
            <w:r>
              <w:t>剪力墙结构</w:t>
            </w:r>
            <w:bookmarkStart w:id="74" w:name="_GoBack"/>
            <w:bookmarkEnd w:id="74"/>
          </w:p>
        </w:tc>
      </w:tr>
      <w:bookmarkEnd w:id="17"/>
    </w:tbl>
    <w:p>
      <w:pPr>
        <w:rPr>
          <w:b/>
          <w:sz w:val="24"/>
        </w:rPr>
      </w:pPr>
    </w:p>
    <w:p>
      <w:pPr>
        <w:pStyle w:val="2"/>
        <w:spacing w:line="240" w:lineRule="atLeast"/>
      </w:pPr>
      <w:bookmarkStart w:id="20" w:name="_Toc316568036"/>
      <w:bookmarkStart w:id="21" w:name="_Toc480186061"/>
      <w:bookmarkStart w:id="22" w:name="_Toc480186123"/>
      <w:bookmarkStart w:id="23" w:name="_Toc480218445"/>
      <w:bookmarkStart w:id="24" w:name="_Toc58923778"/>
      <w:bookmarkStart w:id="25" w:name="TitleFormat"/>
      <w:r>
        <w:rPr>
          <w:rFonts w:hint="eastAsia"/>
        </w:rPr>
        <w:t>评价依据</w:t>
      </w:r>
      <w:bookmarkEnd w:id="20"/>
      <w:bookmarkEnd w:id="21"/>
      <w:bookmarkEnd w:id="22"/>
      <w:bookmarkEnd w:id="23"/>
      <w:bookmarkEnd w:id="24"/>
    </w:p>
    <w:bookmarkEnd w:id="25"/>
    <w:p>
      <w:pPr>
        <w:spacing w:line="240" w:lineRule="atLeast"/>
        <w:rPr>
          <w:b/>
          <w:color w:val="FF0000"/>
        </w:rPr>
      </w:pPr>
      <w:r>
        <w:rPr>
          <w:rFonts w:hint="eastAsia"/>
        </w:rPr>
        <w:t xml:space="preserve">1. </w:t>
      </w:r>
      <w:bookmarkStart w:id="26" w:name="标准名称"/>
      <w:r>
        <w:rPr>
          <w:rFonts w:hint="eastAsia"/>
        </w:rPr>
        <w:t>《严寒和寒冷地区居住建筑节能设计标准》JGJ 26-2018</w:t>
      </w:r>
      <w:bookmarkEnd w:id="26"/>
    </w:p>
    <w:p>
      <w:pPr>
        <w:spacing w:line="240" w:lineRule="atLeast"/>
      </w:pPr>
      <w:r>
        <w:rPr>
          <w:rFonts w:hint="eastAsia"/>
        </w:rPr>
        <w:t>2. 《民用建筑热工设计规范》</w:t>
      </w:r>
      <w:r>
        <w:t>GB50176</w:t>
      </w:r>
    </w:p>
    <w:p>
      <w:pPr>
        <w:spacing w:line="240" w:lineRule="atLeast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 xml:space="preserve"> 《绿色建筑评价标准》GB</w:t>
      </w:r>
      <w:r>
        <w:t>/T</w:t>
      </w:r>
      <w:r>
        <w:rPr>
          <w:rFonts w:hint="eastAsia"/>
        </w:rPr>
        <w:t>50</w:t>
      </w:r>
      <w:r>
        <w:t>378</w:t>
      </w:r>
    </w:p>
    <w:p>
      <w:pPr>
        <w:spacing w:line="240" w:lineRule="atLeast"/>
      </w:pPr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《绿色建筑评价技术细则（试行）》</w:t>
      </w:r>
    </w:p>
    <w:p>
      <w:pPr>
        <w:spacing w:line="240" w:lineRule="atLeast"/>
      </w:pPr>
      <w:r>
        <w:rPr>
          <w:rFonts w:hint="eastAsia"/>
        </w:rPr>
        <w:t>5</w:t>
      </w:r>
      <w:r>
        <w:t xml:space="preserve">.  </w:t>
      </w:r>
      <w:r>
        <w:rPr>
          <w:rFonts w:hint="eastAsia"/>
        </w:rPr>
        <w:t>施工图、设计说明、节能计算书</w:t>
      </w:r>
    </w:p>
    <w:p>
      <w:pPr>
        <w:pStyle w:val="41"/>
        <w:spacing w:line="240" w:lineRule="atLeast"/>
        <w:ind w:left="420" w:firstLine="0" w:firstLineChars="0"/>
      </w:pPr>
    </w:p>
    <w:p>
      <w:pPr>
        <w:pStyle w:val="4"/>
        <w:spacing w:line="240" w:lineRule="atLeast"/>
        <w:rPr>
          <w:kern w:val="2"/>
        </w:rPr>
      </w:pPr>
      <w:bookmarkStart w:id="27" w:name="_Toc480186062"/>
      <w:bookmarkStart w:id="28" w:name="_Toc480186124"/>
      <w:bookmarkStart w:id="29" w:name="_Toc58923779"/>
      <w:bookmarkStart w:id="30" w:name="_Toc480218446"/>
      <w:r>
        <w:rPr>
          <w:rFonts w:hint="eastAsia"/>
          <w:kern w:val="2"/>
        </w:rPr>
        <w:t>评价目标</w:t>
      </w:r>
      <w:bookmarkEnd w:id="27"/>
      <w:bookmarkEnd w:id="28"/>
      <w:bookmarkEnd w:id="29"/>
      <w:bookmarkEnd w:id="30"/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>
        <w:t>依据《民用建筑热工设计规范》</w:t>
      </w:r>
      <w:r>
        <w:rPr>
          <w:rFonts w:hint="eastAsia"/>
        </w:rPr>
        <w:t>GB50176和《绿色建筑评价标准》GB</w:t>
      </w:r>
      <w:r>
        <w:t>/T</w:t>
      </w:r>
      <w:r>
        <w:rPr>
          <w:rFonts w:hint="eastAsia"/>
        </w:rPr>
        <w:t>50</w:t>
      </w:r>
      <w:r>
        <w:t>378</w:t>
      </w:r>
      <w:r>
        <w:rPr>
          <w:rFonts w:hint="eastAsia"/>
        </w:rPr>
        <w:t>的要求和规定，采暖</w:t>
      </w:r>
      <w:r>
        <w:t>期间，</w:t>
      </w:r>
      <w:r>
        <w:rPr>
          <w:rFonts w:hint="eastAsia"/>
        </w:rPr>
        <w:t>围护结构</w:t>
      </w:r>
      <w:r>
        <w:t>中保温材料因内部冷凝受潮而增加的重量</w:t>
      </w:r>
      <w:r>
        <w:rPr>
          <w:rFonts w:hint="eastAsia"/>
        </w:rPr>
        <w:t>湿度允许增量，应符合要求。</w:t>
      </w:r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>
        <w:rPr>
          <w:rFonts w:hint="eastAsia"/>
        </w:rPr>
        <w:t>通过计算采暖期间围护结构中</w:t>
      </w:r>
      <w:r>
        <w:t>保温材料因内部冷凝受潮而增加的湿度，判断是否</w:t>
      </w:r>
      <w:r>
        <w:rPr>
          <w:rFonts w:hint="eastAsia"/>
        </w:rPr>
        <w:t>不大于</w:t>
      </w:r>
      <w:r>
        <w:t>《民用建筑热工设计规范</w:t>
      </w:r>
      <w:r>
        <w:rPr>
          <w:rFonts w:hint="eastAsia"/>
        </w:rPr>
        <w:t>》GB50176规定</w:t>
      </w:r>
      <w:r>
        <w:t>的</w:t>
      </w:r>
      <w:r>
        <w:rPr>
          <w:rFonts w:hint="eastAsia"/>
        </w:rPr>
        <w:t>采暖期间保温材料重量湿度的允许增量。</w:t>
      </w:r>
    </w:p>
    <w:p>
      <w:pPr>
        <w:pStyle w:val="4"/>
        <w:spacing w:line="240" w:lineRule="atLeast"/>
        <w:rPr>
          <w:kern w:val="2"/>
        </w:rPr>
      </w:pPr>
      <w:bookmarkStart w:id="31" w:name="_Toc480186063"/>
      <w:bookmarkStart w:id="32" w:name="_Toc479931706"/>
      <w:bookmarkStart w:id="33" w:name="_Toc58923780"/>
      <w:bookmarkStart w:id="34" w:name="_Toc480218447"/>
      <w:bookmarkStart w:id="35" w:name="_Toc480186125"/>
      <w:r>
        <w:rPr>
          <w:rFonts w:hint="eastAsia"/>
          <w:kern w:val="2"/>
        </w:rPr>
        <w:t>评价方法</w:t>
      </w:r>
      <w:bookmarkEnd w:id="31"/>
      <w:bookmarkEnd w:id="32"/>
      <w:bookmarkEnd w:id="33"/>
      <w:bookmarkEnd w:id="34"/>
      <w:bookmarkEnd w:id="35"/>
    </w:p>
    <w:p>
      <w:pPr>
        <w:pStyle w:val="41"/>
      </w:pPr>
      <w:r>
        <w:rPr>
          <w:rFonts w:hint="eastAsia"/>
        </w:rPr>
        <w:t>根据《民用建筑热工设计规范》GB50176-2016第</w:t>
      </w:r>
      <w:r>
        <w:t>7.1.4</w:t>
      </w:r>
      <w:r>
        <w:rPr>
          <w:rFonts w:hint="eastAsia"/>
        </w:rPr>
        <w:t>条，</w:t>
      </w:r>
      <w:r>
        <w:t>,</w:t>
      </w:r>
      <w:r>
        <w:rPr>
          <w:rFonts w:hint="eastAsia"/>
        </w:rPr>
        <w:t>当围护结构内部可能发生冷凝时，冷凝计算界面内侧所需的蒸汽渗透阻应按式（3.2-1）计算：</w:t>
      </w:r>
    </w:p>
    <w:p>
      <w:pPr>
        <w:wordWrap w:val="0"/>
        <w:jc w:val="right"/>
      </w:pPr>
      <w:r>
        <w:rPr>
          <w:position w:val="-54"/>
        </w:rPr>
        <w:object>
          <v:shape id="_x0000_i1031" o:spt="75" type="#_x0000_t75" style="height:46pt;width:141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31" DrawAspect="Content" ObjectID="_1468075727" r:id="rId11">
            <o:LockedField>false</o:LockedField>
          </o:OLEObject>
        </w:object>
      </w:r>
      <w:r>
        <w:t xml:space="preserve">                          </w:t>
      </w:r>
      <w:r>
        <w:rPr>
          <w:rFonts w:hint="eastAsia"/>
        </w:rPr>
        <w:t xml:space="preserve">（3.2-1） </w:t>
      </w:r>
    </w:p>
    <w:p>
      <w:r>
        <w:rPr>
          <w:rFonts w:hint="eastAsia"/>
        </w:rPr>
        <w:t>则推导：</w:t>
      </w:r>
    </w:p>
    <w:p>
      <w:pPr>
        <w:wordWrap w:val="0"/>
        <w:jc w:val="right"/>
      </w:pPr>
      <w:r>
        <w:rPr>
          <w:position w:val="-28"/>
        </w:rPr>
        <w:object>
          <v:shape id="_x0000_i1032" o:spt="75" type="#_x0000_t75" style="height:50pt;width:162.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32" DrawAspect="Content" ObjectID="_1468075728" r:id="rId13">
            <o:LockedField>false</o:LockedField>
          </o:OLEObject>
        </w:object>
      </w:r>
      <w:r>
        <w:t xml:space="preserve">                        </w:t>
      </w:r>
      <w:r>
        <w:rPr>
          <w:rFonts w:hint="eastAsia"/>
        </w:rPr>
        <w:t>（3.2-2）</w:t>
      </w:r>
    </w:p>
    <w:p>
      <w:r>
        <w:rPr>
          <w:rFonts w:hint="eastAsia"/>
        </w:rPr>
        <w:t>式中：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33" o:spt="75" type="#_x0000_t75" style="height:16.5pt;width:2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3" DrawAspect="Content" ObjectID="_1468075729" r:id="rId15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采暖期间保温材料重量湿度的允许增量限值(%)；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4" o:spt="75" type="#_x0000_t75" style="height:13.5pt;width:20.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4" DrawAspect="Content" ObjectID="_1468075730" r:id="rId17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冷凝计算界面内侧实际的蒸汽渗透阻(㎡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5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36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7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38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9" o:spt="75" type="#_x0000_t75" style="height:13.5pt;width:22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9" DrawAspect="Content" ObjectID="_1468075731" r:id="rId2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冷凝计算界面至围护结构外表面之间的蒸汽渗透阻(㎡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40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41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42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43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4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44" DrawAspect="Content" ObjectID="_1468075732" r:id="rId23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室内空气水蒸气分压力(Pa)，根据室内计算温度和相对湿度确定；</w:t>
      </w:r>
    </w:p>
    <w:p>
      <w:pPr>
        <w:autoSpaceDE w:val="0"/>
        <w:autoSpaceDN w:val="0"/>
        <w:adjustRightInd w:val="0"/>
        <w:ind w:left="1470" w:leftChars="400" w:hanging="630" w:hangingChars="3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5" o:spt="75" type="#_x0000_t75" style="height:13.5pt;width:1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45" DrawAspect="Content" ObjectID="_1468075733" r:id="rId25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室外空气水蒸气分压力(Pa)，根据本规范附录三附表3.1查得的采暖期室外平均温度和平均相对温度确定；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6" o:spt="75" type="#_x0000_t75" style="height:13.5pt;width:20.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46" DrawAspect="Content" ObjectID="_1468075734" r:id="rId27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冷凝计算界面处与界面温度</w:t>
      </w:r>
      <w:r>
        <w:rPr>
          <w:rFonts w:ascii="宋体" w:cs="宋体"/>
          <w:kern w:val="0"/>
          <w:position w:val="-6"/>
          <w:szCs w:val="21"/>
        </w:rPr>
        <w:object>
          <v:shape id="_x0000_i1047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47" DrawAspect="Content" ObjectID="_1468075735" r:id="rId29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hint="eastAsia" w:ascii="宋体" w:cs="宋体"/>
          <w:kern w:val="0"/>
          <w:szCs w:val="21"/>
        </w:rPr>
        <w:t>对应的饱和水蒸气分压力(Pa)；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Z—</w:t>
      </w:r>
      <w:r>
        <w:rPr>
          <w:rFonts w:hint="eastAsia" w:ascii="宋体" w:cs="宋体"/>
          <w:kern w:val="0"/>
          <w:szCs w:val="21"/>
        </w:rPr>
        <w:t>采暖期天数，应符合本规范附录三附表3.1的规定；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48" o:spt="75" type="#_x0000_t75" style="height:13.5pt;width:1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48" DrawAspect="Content" ObjectID="_1468075736" r:id="rId31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保温材料的干密度(kg/m</w:t>
      </w:r>
      <w:r>
        <w:rPr>
          <w:rFonts w:ascii="宋体" w:cs="宋体"/>
          <w:kern w:val="0"/>
          <w:szCs w:val="21"/>
          <w:vertAlign w:val="superscript"/>
        </w:rPr>
        <w:t>3</w:t>
      </w:r>
      <w:r>
        <w:rPr>
          <w:rFonts w:hint="eastAsia" w:ascii="宋体" w:cs="宋体"/>
          <w:kern w:val="0"/>
          <w:szCs w:val="21"/>
        </w:rPr>
        <w:t>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9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49" DrawAspect="Content" ObjectID="_1468075737" r:id="rId33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保温材料厚度(m)；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冷凝计算界面温度可按下式计算：</w:t>
      </w:r>
    </w:p>
    <w:p>
      <w:pPr>
        <w:jc w:val="center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0" o:spt="75" type="#_x0000_t75" style="height:34pt;width:118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50" DrawAspect="Content" ObjectID="_1468075738" r:id="rId35">
            <o:LockedField>false</o:LockedField>
          </o:OLEObject>
        </w:objec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式中：</w:t>
      </w:r>
      <w:r>
        <w:rPr>
          <w:rFonts w:eastAsiaTheme="minorEastAsia"/>
        </w:rPr>
        <w:object>
          <v:shape id="_x0000_i1051" o:spt="75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51" DrawAspect="Content" ObjectID="_1468075739" r:id="rId3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2" o:spt="75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52" DrawAspect="Content" ObjectID="_1468075740" r:id="rId39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室内计算温度（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3" o:spt="75" type="#_x0000_t75" style="height:18pt;width:10.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53" DrawAspect="Content" ObjectID="_1468075741" r:id="rId41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采暖期室外平均温度（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4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54" DrawAspect="Content" ObjectID="_1468075742" r:id="rId4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5" o:spt="75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3" ShapeID="_x0000_i1055" DrawAspect="Content" ObjectID="_1468075743" r:id="rId45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hint="eastAsia" w:eastAsiaTheme="minorEastAsia"/>
          <w:szCs w:val="22"/>
        </w:rPr>
        <w:t>）</w:t>
      </w:r>
    </w:p>
    <w:p>
      <w:pPr>
        <w:rPr>
          <w:rFonts w:asciiTheme="minorHAnsi" w:hAnsiTheme="minorHAnsi" w:eastAsiaTheme="minorEastAsia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>
          <v:shape id="_x0000_i1056" o:spt="75" type="#_x0000_t75" style="height:19.5pt;width:19.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3" ShapeID="_x0000_i1056" DrawAspect="Content" ObjectID="_1468075744" r:id="rId4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>
      <w:pPr>
        <w:pStyle w:val="2"/>
        <w:spacing w:line="240" w:lineRule="atLeast"/>
      </w:pPr>
      <w:bookmarkStart w:id="36" w:name="_Toc480186064"/>
      <w:bookmarkStart w:id="37" w:name="_Toc58923781"/>
      <w:bookmarkStart w:id="38" w:name="_Toc480218448"/>
      <w:bookmarkStart w:id="39" w:name="_Toc480186126"/>
      <w:r>
        <w:rPr>
          <w:rFonts w:hint="eastAsia"/>
        </w:rPr>
        <w:t>防潮验算</w:t>
      </w:r>
      <w:r>
        <w:t>计算过程</w:t>
      </w:r>
      <w:bookmarkEnd w:id="36"/>
      <w:bookmarkEnd w:id="37"/>
      <w:bookmarkEnd w:id="38"/>
      <w:bookmarkEnd w:id="39"/>
    </w:p>
    <w:p>
      <w:pPr>
        <w:pStyle w:val="4"/>
        <w:spacing w:line="240" w:lineRule="atLeast"/>
        <w:rPr>
          <w:kern w:val="2"/>
        </w:rPr>
      </w:pPr>
      <w:bookmarkStart w:id="40" w:name="_Toc58923782"/>
      <w:r>
        <w:rPr>
          <w:rFonts w:hint="eastAsia"/>
          <w:kern w:val="2"/>
        </w:rPr>
        <w:t>计算条件</w:t>
      </w:r>
      <w:bookmarkEnd w:id="40"/>
    </w:p>
    <w:tbl>
      <w:tblPr>
        <w:tblStyle w:val="20"/>
        <w:tblW w:w="932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2693"/>
        <w:gridCol w:w="367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962" w:type="dxa"/>
            <w:tcBorders>
              <w:top w:val="single" w:color="auto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position w:val="-6"/>
              </w:rPr>
              <w:object>
                <v:shape id="_x0000_i1057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45" r:id="rId49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内表面换热阻（㎡</w:t>
            </w:r>
            <w:r>
              <w:fldChar w:fldCharType="begin"/>
            </w:r>
            <w:r>
              <w:instrText xml:space="preserve"> QUOTE </w:instrText>
            </w:r>
            <w:r>
              <w:rPr>
                <w:position w:val="-8"/>
              </w:rPr>
              <w:pict>
                <v:shape id="_x0000_i1058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instrText xml:space="preserve"> </w:instrText>
            </w:r>
            <w:r>
              <w:fldChar w:fldCharType="separate"/>
            </w:r>
            <w:r>
              <w:rPr>
                <w:position w:val="-8"/>
              </w:rPr>
              <w:pict>
                <v:shape id="_x0000_i1059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fldChar w:fldCharType="end"/>
            </w:r>
            <w:r>
              <w:rPr>
                <w:rFonts w:hint="eastAsia"/>
              </w:rPr>
              <w:t>K/W）</w:t>
            </w:r>
          </w:p>
        </w:tc>
        <w:tc>
          <w:tcPr>
            <w:tcW w:w="2693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GB50176附录B.4的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hint="eastAsia" w:ascii="宋体" w:hAnsi="宋体" w:cs="宋体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bookmarkStart w:id="41" w:name="t_i_avg"/>
            <w:r>
              <w:rPr>
                <w:rFonts w:hint="eastAsia"/>
              </w:rPr>
              <w:t>18</w:t>
            </w:r>
            <w:bookmarkEnd w:id="41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室内</w:t>
            </w:r>
            <w:r>
              <w:t>相对湿度(</w:t>
            </w:r>
            <w:r>
              <w:rPr>
                <w:rFonts w:hint="eastAsia" w:ascii="宋体" w:hAnsi="宋体" w:cs="宋体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bookmarkStart w:id="42" w:name="室内相对湿度"/>
            <w:r>
              <w:rPr>
                <w:rFonts w:hint="eastAsia"/>
              </w:rPr>
              <w:t>60</w:t>
            </w:r>
            <w:bookmarkEnd w:id="42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position w:val="-6"/>
              </w:rPr>
              <w:object>
                <v:shape id="_x0000_i1060" o:spt="75" type="#_x0000_t75" style="height:17.5pt;width:10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46" r:id="rId51">
                  <o:LockedField>false</o:LockedField>
                </o:OLEObject>
              </w:object>
            </w:r>
            <w:r>
              <w:rPr>
                <w:rFonts w:hint="eastAsia"/>
              </w:rPr>
              <w:t xml:space="preserve"> 采暖期室外平均温度（℃）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bookmarkStart w:id="43" w:name="t_e_avg"/>
            <w:r>
              <w:rPr>
                <w:rFonts w:hint="eastAsia"/>
              </w:rPr>
              <w:t>0.10</w:t>
            </w:r>
            <w:bookmarkEnd w:id="43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室外</w:t>
            </w:r>
            <w:r>
              <w:t>相对湿度(</w:t>
            </w:r>
            <w:r>
              <w:rPr>
                <w:rFonts w:hint="eastAsia" w:ascii="宋体" w:hAnsi="宋体" w:cs="宋体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bookmarkStart w:id="44" w:name="室外相对湿度"/>
            <w:r>
              <w:rPr>
                <w:rFonts w:hint="eastAsia"/>
              </w:rPr>
              <w:t>43.00</w:t>
            </w:r>
            <w:bookmarkEnd w:id="44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auto" w:sz="8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bookmarkStart w:id="45" w:name="Z"/>
            <w:r>
              <w:rPr>
                <w:rFonts w:hint="eastAsia"/>
              </w:rPr>
              <w:t>114</w:t>
            </w:r>
            <w:bookmarkEnd w:id="45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GB50176附录A表A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>
      <w:r>
        <w:rPr>
          <w:rFonts w:hint="eastAsia"/>
        </w:rPr>
        <w:t xml:space="preserve"> </w:t>
      </w:r>
      <w:bookmarkStart w:id="46" w:name="气象数据参考"/>
      <w:bookmarkEnd w:id="46"/>
    </w:p>
    <w:p>
      <w:pPr>
        <w:pStyle w:val="3"/>
        <w:ind w:left="0" w:leftChars="0" w:right="1470"/>
      </w:pPr>
    </w:p>
    <w:p>
      <w:pPr>
        <w:pStyle w:val="4"/>
        <w:spacing w:line="240" w:lineRule="atLeast"/>
        <w:rPr>
          <w:kern w:val="2"/>
        </w:rPr>
      </w:pPr>
      <w:bookmarkStart w:id="47" w:name="_Toc58923783"/>
      <w:r>
        <w:rPr>
          <w:rFonts w:hint="eastAsia"/>
          <w:kern w:val="2"/>
        </w:rPr>
        <w:t>平屋面 挤塑聚苯板170</w:t>
      </w:r>
      <w:bookmarkEnd w:id="47"/>
    </w:p>
    <w:tbl>
      <w:tblPr>
        <w:tblStyle w:val="20"/>
        <w:tblW w:w="94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vAlign w:val="center"/>
          </w:tcPr>
          <w:p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细石混凝土</w:t>
            </w:r>
          </w:p>
        </w:tc>
        <w:tc>
          <w:tcPr>
            <w:tcW w:w="848" w:type="dxa"/>
            <w:vAlign w:val="center"/>
          </w:tcPr>
          <w:p>
            <w:r>
              <w:t>40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2600.00</w:t>
            </w:r>
          </w:p>
        </w:tc>
        <w:tc>
          <w:tcPr>
            <w:tcW w:w="1559" w:type="dxa"/>
            <w:vAlign w:val="center"/>
          </w:tcPr>
          <w:p>
            <w:r>
              <w:t>0.0158</w:t>
            </w:r>
          </w:p>
        </w:tc>
        <w:tc>
          <w:tcPr>
            <w:tcW w:w="993" w:type="dxa"/>
            <w:vAlign w:val="center"/>
          </w:tcPr>
          <w:p>
            <w:r>
              <w:t>0.023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防水层(忽略保温性能)</w:t>
            </w:r>
          </w:p>
        </w:tc>
        <w:tc>
          <w:tcPr>
            <w:tcW w:w="848" w:type="dxa"/>
            <w:vAlign w:val="center"/>
          </w:tcPr>
          <w:p>
            <w:r>
              <w:t>7</w:t>
            </w:r>
          </w:p>
        </w:tc>
        <w:tc>
          <w:tcPr>
            <w:tcW w:w="1075" w:type="dxa"/>
            <w:vAlign w:val="center"/>
          </w:tcPr>
          <w:p>
            <w:r>
              <w:t>5.000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1.00</w:t>
            </w:r>
          </w:p>
        </w:tc>
        <w:tc>
          <w:tcPr>
            <w:tcW w:w="1559" w:type="dxa"/>
            <w:vAlign w:val="center"/>
          </w:tcPr>
          <w:p>
            <w:r>
              <w:t>0.0100</w:t>
            </w:r>
          </w:p>
        </w:tc>
        <w:tc>
          <w:tcPr>
            <w:tcW w:w="993" w:type="dxa"/>
            <w:vAlign w:val="center"/>
          </w:tcPr>
          <w:p>
            <w:r>
              <w:t>0.001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细石混凝土</w:t>
            </w:r>
          </w:p>
        </w:tc>
        <w:tc>
          <w:tcPr>
            <w:tcW w:w="848" w:type="dxa"/>
            <w:vAlign w:val="center"/>
          </w:tcPr>
          <w:p>
            <w:r>
              <w:t>30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2600.00</w:t>
            </w:r>
          </w:p>
        </w:tc>
        <w:tc>
          <w:tcPr>
            <w:tcW w:w="1559" w:type="dxa"/>
            <w:vAlign w:val="center"/>
          </w:tcPr>
          <w:p>
            <w:r>
              <w:t>0.0158</w:t>
            </w:r>
          </w:p>
        </w:tc>
        <w:tc>
          <w:tcPr>
            <w:tcW w:w="993" w:type="dxa"/>
            <w:vAlign w:val="center"/>
          </w:tcPr>
          <w:p>
            <w:r>
              <w:t>0.017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挤塑聚苯板(ρ=30)</w:t>
            </w:r>
          </w:p>
        </w:tc>
        <w:tc>
          <w:tcPr>
            <w:tcW w:w="848" w:type="dxa"/>
            <w:vAlign w:val="center"/>
          </w:tcPr>
          <w:p>
            <w:r>
              <w:t>170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671" w:type="dxa"/>
            <w:vAlign w:val="center"/>
          </w:tcPr>
          <w:p>
            <w:r>
              <w:t>1.20</w:t>
            </w:r>
          </w:p>
        </w:tc>
        <w:tc>
          <w:tcPr>
            <w:tcW w:w="992" w:type="dxa"/>
            <w:vAlign w:val="center"/>
          </w:tcPr>
          <w:p>
            <w:r>
              <w:t>30.00</w:t>
            </w:r>
          </w:p>
        </w:tc>
        <w:tc>
          <w:tcPr>
            <w:tcW w:w="1559" w:type="dxa"/>
            <w:vAlign w:val="center"/>
          </w:tcPr>
          <w:p>
            <w:r>
              <w:t>0.0162</w:t>
            </w:r>
          </w:p>
        </w:tc>
        <w:tc>
          <w:tcPr>
            <w:tcW w:w="993" w:type="dxa"/>
            <w:vAlign w:val="center"/>
          </w:tcPr>
          <w:p>
            <w:r>
              <w:t>4.722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水泥砂浆找平层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0.0430</w:t>
            </w:r>
          </w:p>
        </w:tc>
        <w:tc>
          <w:tcPr>
            <w:tcW w:w="993" w:type="dxa"/>
            <w:vAlign w:val="center"/>
          </w:tcPr>
          <w:p>
            <w:r>
              <w:t>0.022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火山灰</w:t>
            </w:r>
          </w:p>
        </w:tc>
        <w:tc>
          <w:tcPr>
            <w:tcW w:w="848" w:type="dxa"/>
            <w:vAlign w:val="center"/>
          </w:tcPr>
          <w:p>
            <w:r>
              <w:t>30</w:t>
            </w:r>
          </w:p>
        </w:tc>
        <w:tc>
          <w:tcPr>
            <w:tcW w:w="1075" w:type="dxa"/>
            <w:vAlign w:val="center"/>
          </w:tcPr>
          <w:p>
            <w:r>
              <w:t>0.087</w:t>
            </w:r>
          </w:p>
        </w:tc>
        <w:tc>
          <w:tcPr>
            <w:tcW w:w="671" w:type="dxa"/>
            <w:vAlign w:val="center"/>
          </w:tcPr>
          <w:p>
            <w:r>
              <w:t>1.30</w:t>
            </w:r>
          </w:p>
        </w:tc>
        <w:tc>
          <w:tcPr>
            <w:tcW w:w="992" w:type="dxa"/>
            <w:vAlign w:val="center"/>
          </w:tcPr>
          <w:p>
            <w:r>
              <w:t>350.00</w:t>
            </w:r>
          </w:p>
        </w:tc>
        <w:tc>
          <w:tcPr>
            <w:tcW w:w="1559" w:type="dxa"/>
            <w:vAlign w:val="center"/>
          </w:tcPr>
          <w:p>
            <w:r>
              <w:t>10.0000</w:t>
            </w:r>
          </w:p>
        </w:tc>
        <w:tc>
          <w:tcPr>
            <w:tcW w:w="993" w:type="dxa"/>
            <w:vAlign w:val="center"/>
          </w:tcPr>
          <w:p>
            <w:r>
              <w:t>0.265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2500.00</w:t>
            </w:r>
          </w:p>
        </w:tc>
        <w:tc>
          <w:tcPr>
            <w:tcW w:w="1559" w:type="dxa"/>
            <w:vAlign w:val="center"/>
          </w:tcPr>
          <w:p>
            <w:r>
              <w:t>0.0158</w:t>
            </w:r>
          </w:p>
        </w:tc>
        <w:tc>
          <w:tcPr>
            <w:tcW w:w="993" w:type="dxa"/>
            <w:vAlign w:val="center"/>
          </w:tcPr>
          <w:p>
            <w:r>
              <w:t>0.069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混合砂浆（石灰水泥砂浆）</w:t>
            </w:r>
          </w:p>
        </w:tc>
        <w:tc>
          <w:tcPr>
            <w:tcW w:w="848" w:type="dxa"/>
            <w:vAlign w:val="center"/>
          </w:tcPr>
          <w:p>
            <w:r>
              <w:t>15</w:t>
            </w:r>
          </w:p>
        </w:tc>
        <w:tc>
          <w:tcPr>
            <w:tcW w:w="1075" w:type="dxa"/>
            <w:vAlign w:val="center"/>
          </w:tcPr>
          <w:p>
            <w:r>
              <w:t>0.870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1700.00</w:t>
            </w:r>
          </w:p>
        </w:tc>
        <w:tc>
          <w:tcPr>
            <w:tcW w:w="1559" w:type="dxa"/>
            <w:vAlign w:val="center"/>
          </w:tcPr>
          <w:p>
            <w:r>
              <w:t>0.0230</w:t>
            </w:r>
          </w:p>
        </w:tc>
        <w:tc>
          <w:tcPr>
            <w:tcW w:w="993" w:type="dxa"/>
            <w:vAlign w:val="center"/>
          </w:tcPr>
          <w:p>
            <w:r>
              <w:t>0.017</w:t>
            </w:r>
          </w:p>
        </w:tc>
      </w:tr>
    </w:tbl>
    <w:p>
      <w:pPr>
        <w:pStyle w:val="3"/>
        <w:ind w:left="1470" w:right="1470"/>
      </w:pPr>
    </w:p>
    <w:p>
      <w:pPr>
        <w:pStyle w:val="5"/>
      </w:pPr>
      <w:bookmarkStart w:id="48" w:name="_Toc58923784"/>
      <w:r>
        <w:rPr>
          <w:rFonts w:hint="eastAsia"/>
        </w:rPr>
        <w:t>冷凝计算界面至围护结构内表面之间的热阻</w:t>
      </w:r>
      <w:bookmarkEnd w:id="48"/>
      <w:r>
        <w:object>
          <v:shape id="_x0000_i1061" o:spt="75" type="#_x0000_t75" style="height:13.5pt;width:19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61" DrawAspect="Content" ObjectID="_1468075747" r:id="rId53">
            <o:LockedField>false</o:LockedField>
          </o:OLEObject>
        </w:object>
      </w:r>
    </w:p>
    <w:p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object>
          <v:shape id="_x0000_i1062" o:spt="75" type="#_x0000_t75" style="height:13.5pt;width:19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62" DrawAspect="Content" ObjectID="_1468075748" r:id="rId54">
            <o:LockedField>false</o:LockedField>
          </o:OLEObject>
        </w:object>
      </w:r>
      <w:r>
        <w:rPr>
          <w:b/>
          <w:bCs/>
        </w:rPr>
        <w:t>=</w:t>
      </w:r>
      <w:r>
        <w:rPr>
          <w:rFonts w:hint="eastAsia"/>
        </w:rPr>
        <w:t>5.10</w:t>
      </w:r>
    </w:p>
    <w:p>
      <w:pPr>
        <w:pStyle w:val="5"/>
        <w:ind w:right="1470"/>
      </w:pPr>
      <w:bookmarkStart w:id="49" w:name="_Toc58923785"/>
      <w:r>
        <w:rPr>
          <w:rFonts w:hint="eastAsia"/>
        </w:rPr>
        <w:t>冷凝计算界面温度</w:t>
      </w:r>
      <w:bookmarkEnd w:id="49"/>
      <w:r>
        <w:rPr>
          <w:position w:val="-6"/>
        </w:rPr>
        <w:object>
          <v:shape id="_x0000_i1063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63" DrawAspect="Content" ObjectID="_1468075749" r:id="rId55">
            <o:LockedField>false</o:LockedField>
          </o:OLEObject>
        </w:object>
      </w:r>
    </w:p>
    <w:p>
      <w:pPr>
        <w:jc w:val="center"/>
      </w:pPr>
      <w:r>
        <w:object>
          <v:shape id="_x0000_i1064" o:spt="75" type="#_x0000_t75" style="height:33pt;width:112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64" DrawAspect="Content" ObjectID="_1468075750" r:id="rId56">
            <o:LockedField>false</o:LockedField>
          </o:OLEObject>
        </w:object>
      </w:r>
    </w:p>
    <w:p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object>
          <v:shape id="_x0000_i1065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65" DrawAspect="Content" ObjectID="_1468075751" r:id="rId58">
            <o:LockedField>false</o:LockedField>
          </o:OLEObject>
        </w:object>
      </w:r>
      <w:r>
        <w:t>=</w:t>
      </w:r>
      <w:r>
        <w:rPr>
          <w:rFonts w:hint="eastAsia"/>
        </w:rPr>
        <w:t>0.38</w:t>
      </w:r>
    </w:p>
    <w:p>
      <w:pPr>
        <w:pStyle w:val="5"/>
        <w:ind w:right="1470"/>
      </w:pPr>
      <w:bookmarkStart w:id="50" w:name="_Toc58923786"/>
      <w:r>
        <w:rPr>
          <w:rStyle w:val="32"/>
          <w:rFonts w:hint="eastAsia"/>
          <w:b/>
          <w:bCs w:val="0"/>
        </w:rPr>
        <w:t>围护结构冷凝受潮验算</w:t>
      </w:r>
      <w:bookmarkEnd w:id="50"/>
    </w:p>
    <w:tbl>
      <w:tblPr>
        <w:tblStyle w:val="20"/>
        <w:tblW w:w="99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2693"/>
        <w:gridCol w:w="1374"/>
        <w:gridCol w:w="27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object>
                <v:shape id="_x0000_i1066" o:spt="75" type="#_x0000_t75" style="height:13.5pt;width:20.5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52" r:id="rId59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67" o:spt="75" type="#_x0000_t75" style="height:13.5pt;width:20.5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53" r:id="rId60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8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9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70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71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19209.05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72" o:spt="75" type="#_x0000_t75" style="height:13.5pt;width:22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54" r:id="rId61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73" o:spt="75" type="#_x0000_t75" style="height:13.5pt;width:22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55" r:id="rId62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74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75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76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77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5130.38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78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56" r:id="rId63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79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57" r:id="rId64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80" o:spt="75" type="#_x0000_t75" style="height:13.5pt;width:15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58" r:id="rId65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81" o:spt="75" type="#_x0000_t75" style="height:13.5pt;width:15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59" r:id="rId66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264.67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82" o:spt="75" type="#_x0000_t75" style="height:13.5pt;width:20.5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60" r:id="rId67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83" o:spt="75" type="#_x0000_t75" style="height:13.5pt;width:20.5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61" r:id="rId68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object>
                <v:shape id="_x0000_i1084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62" r:id="rId69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627.94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10"/>
              </w:rPr>
              <w:object>
                <v:shape id="_x0000_i1085" o:spt="75" type="#_x0000_t75" style="height:13.5pt;width:15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85" DrawAspect="Content" ObjectID="_1468075763" r:id="rId70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object>
                <v:shape id="_x0000_i1086" o:spt="75" type="#_x0000_t75" style="height:13.5pt;width:15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86" DrawAspect="Content" ObjectID="_1468075764" r:id="rId71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30.00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</w:tcPr>
          <w:p>
            <w:r>
              <w:rPr>
                <w:position w:val="-6"/>
              </w:rPr>
              <w:object>
                <v:shape id="_x0000_i1087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87" DrawAspect="Content" ObjectID="_1468075765" r:id="rId72">
                  <o:LockedField>false</o:LockedField>
                </o:OLEObject>
              </w:object>
            </w:r>
          </w:p>
        </w:tc>
        <w:tc>
          <w:tcPr>
            <w:tcW w:w="2693" w:type="dxa"/>
          </w:tcPr>
          <w:p>
            <w:r>
              <w:rPr>
                <w:position w:val="-6"/>
              </w:rPr>
              <w:object>
                <v:shape id="_x0000_i1088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88" DrawAspect="Content" ObjectID="_1468075766" r:id="rId73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0.17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28"/>
              </w:rPr>
              <w:object>
                <v:shape id="_x0000_i1089" o:spt="75" type="#_x0000_t75" style="height:43.5pt;width:142.5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89" DrawAspect="Content" ObjectID="_1468075767" r:id="rId74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object>
                <v:shape id="_x0000_i1090" o:spt="75" type="#_x0000_t75" style="height:16.5pt;width:25pt;" o:ole="t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DSMT4" ShapeID="_x0000_i1090" DrawAspect="Content" ObjectID="_1468075768" r:id="rId75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/>
              </w:rPr>
              <w:t>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>
      <w:pPr>
        <w:widowControl/>
        <w:jc w:val="left"/>
      </w:pPr>
    </w:p>
    <w:p>
      <w:pPr>
        <w:pStyle w:val="4"/>
        <w:spacing w:line="240" w:lineRule="atLeast"/>
        <w:rPr>
          <w:kern w:val="2"/>
        </w:rPr>
      </w:pPr>
      <w:bookmarkStart w:id="51" w:name="_Toc58923787"/>
      <w:r>
        <w:rPr>
          <w:rFonts w:hint="eastAsia"/>
          <w:kern w:val="2"/>
        </w:rPr>
        <w:t>混凝土剪力墙200+挤塑聚苯板80</w:t>
      </w:r>
      <w:bookmarkEnd w:id="51"/>
    </w:p>
    <w:tbl>
      <w:tblPr>
        <w:tblStyle w:val="20"/>
        <w:tblW w:w="94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vAlign w:val="center"/>
          </w:tcPr>
          <w:p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抗裂砂浆</w:t>
            </w:r>
          </w:p>
        </w:tc>
        <w:tc>
          <w:tcPr>
            <w:tcW w:w="848" w:type="dxa"/>
            <w:vAlign w:val="center"/>
          </w:tcPr>
          <w:p>
            <w:r>
              <w:t>12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0.0140</w:t>
            </w:r>
          </w:p>
        </w:tc>
        <w:tc>
          <w:tcPr>
            <w:tcW w:w="993" w:type="dxa"/>
            <w:vAlign w:val="center"/>
          </w:tcPr>
          <w:p>
            <w:r>
              <w:t>0.013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挤塑聚苯板(ρ=30)</w:t>
            </w:r>
          </w:p>
        </w:tc>
        <w:tc>
          <w:tcPr>
            <w:tcW w:w="848" w:type="dxa"/>
            <w:vAlign w:val="center"/>
          </w:tcPr>
          <w:p>
            <w:r>
              <w:t>80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671" w:type="dxa"/>
            <w:vAlign w:val="center"/>
          </w:tcPr>
          <w:p>
            <w:r>
              <w:t>1.10</w:t>
            </w:r>
          </w:p>
        </w:tc>
        <w:tc>
          <w:tcPr>
            <w:tcW w:w="992" w:type="dxa"/>
            <w:vAlign w:val="center"/>
          </w:tcPr>
          <w:p>
            <w:r>
              <w:t>30.00</w:t>
            </w:r>
          </w:p>
        </w:tc>
        <w:tc>
          <w:tcPr>
            <w:tcW w:w="1559" w:type="dxa"/>
            <w:vAlign w:val="center"/>
          </w:tcPr>
          <w:p>
            <w:r>
              <w:t>0.0162</w:t>
            </w:r>
          </w:p>
        </w:tc>
        <w:tc>
          <w:tcPr>
            <w:tcW w:w="993" w:type="dxa"/>
            <w:vAlign w:val="center"/>
          </w:tcPr>
          <w:p>
            <w:r>
              <w:t>2.424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2500.00</w:t>
            </w:r>
          </w:p>
        </w:tc>
        <w:tc>
          <w:tcPr>
            <w:tcW w:w="1559" w:type="dxa"/>
            <w:vAlign w:val="center"/>
          </w:tcPr>
          <w:p>
            <w:r>
              <w:t>0.0158</w:t>
            </w:r>
          </w:p>
        </w:tc>
        <w:tc>
          <w:tcPr>
            <w:tcW w:w="993" w:type="dxa"/>
            <w:vAlign w:val="center"/>
          </w:tcPr>
          <w:p>
            <w:r>
              <w:t>0.115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混合砂浆（石灰水泥砂浆）</w:t>
            </w:r>
          </w:p>
        </w:tc>
        <w:tc>
          <w:tcPr>
            <w:tcW w:w="848" w:type="dxa"/>
            <w:vAlign w:val="center"/>
          </w:tcPr>
          <w:p>
            <w:r>
              <w:t>15</w:t>
            </w:r>
          </w:p>
        </w:tc>
        <w:tc>
          <w:tcPr>
            <w:tcW w:w="1075" w:type="dxa"/>
            <w:vAlign w:val="center"/>
          </w:tcPr>
          <w:p>
            <w:r>
              <w:t>0.870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1700.00</w:t>
            </w:r>
          </w:p>
        </w:tc>
        <w:tc>
          <w:tcPr>
            <w:tcW w:w="1559" w:type="dxa"/>
            <w:vAlign w:val="center"/>
          </w:tcPr>
          <w:p>
            <w:r>
              <w:t>0.0230</w:t>
            </w:r>
          </w:p>
        </w:tc>
        <w:tc>
          <w:tcPr>
            <w:tcW w:w="993" w:type="dxa"/>
            <w:vAlign w:val="center"/>
          </w:tcPr>
          <w:p>
            <w:r>
              <w:t>0.017</w:t>
            </w:r>
          </w:p>
        </w:tc>
      </w:tr>
    </w:tbl>
    <w:p>
      <w:pPr>
        <w:pStyle w:val="3"/>
        <w:ind w:left="1470" w:right="1470"/>
      </w:pPr>
    </w:p>
    <w:p>
      <w:pPr>
        <w:pStyle w:val="5"/>
      </w:pPr>
      <w:bookmarkStart w:id="52" w:name="_Toc58923788"/>
      <w:r>
        <w:rPr>
          <w:rFonts w:hint="eastAsia"/>
        </w:rPr>
        <w:t>冷凝计算界面至围护结构内表面之间的热阻</w:t>
      </w:r>
      <w:r>
        <w:pict>
          <v:shape id="_x0000_i1091" o:spt="75" type="#_x0000_t75" style="height:13.5pt;width:19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bookmarkEnd w:id="52"/>
    </w:p>
    <w:p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092" o:spt="75" type="#_x0000_t75" style="height:13.5pt;width:19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2.56</w:t>
      </w:r>
    </w:p>
    <w:p>
      <w:pPr>
        <w:pStyle w:val="5"/>
        <w:ind w:right="1470"/>
      </w:pPr>
      <w:bookmarkStart w:id="53" w:name="_Toc58923789"/>
      <w:r>
        <w:rPr>
          <w:rFonts w:hint="eastAsia"/>
        </w:rPr>
        <w:t>冷凝计算界面温度</w:t>
      </w:r>
      <w:r>
        <w:rPr>
          <w:position w:val="-6"/>
        </w:rPr>
        <w:pict>
          <v:shape id="_x0000_i1093" o:spt="75" type="#_x0000_t75" style="height:13.5pt;width:13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bookmarkEnd w:id="53"/>
    </w:p>
    <w:p>
      <w:pPr>
        <w:jc w:val="center"/>
      </w:pPr>
      <w:r>
        <w:pict>
          <v:shape id="_x0000_i1094" o:spt="75" type="#_x0000_t75" style="height:33pt;width:112pt;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</w:pict>
      </w:r>
    </w:p>
    <w:p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095" o:spt="75" type="#_x0000_t75" style="height:13.5pt;width:13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0.45</w:t>
      </w:r>
    </w:p>
    <w:p>
      <w:pPr>
        <w:pStyle w:val="5"/>
        <w:ind w:right="1470"/>
      </w:pPr>
      <w:bookmarkStart w:id="54" w:name="_Toc58923790"/>
      <w:r>
        <w:rPr>
          <w:rStyle w:val="32"/>
          <w:rFonts w:hint="eastAsia"/>
          <w:b/>
          <w:bCs w:val="0"/>
        </w:rPr>
        <w:t>围护结构冷凝受潮验算</w:t>
      </w:r>
      <w:bookmarkEnd w:id="54"/>
    </w:p>
    <w:tbl>
      <w:tblPr>
        <w:tblStyle w:val="20"/>
        <w:tblW w:w="99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2693"/>
        <w:gridCol w:w="1374"/>
        <w:gridCol w:w="27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096" o:spt="75" type="#_x0000_t75" style="height:13.5pt;width:20.5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097" o:spt="75" type="#_x0000_t75" style="height:13.5pt;width:20.5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8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99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00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01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18248.67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02" o:spt="75" type="#_x0000_t75" style="height:13.5pt;width:22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03" o:spt="75" type="#_x0000_t75" style="height:13.5pt;width:22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04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05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06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07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857.14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08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09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10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11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264.67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12" o:spt="75" type="#_x0000_t75" style="height:13.5pt;width:20.5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13" o:spt="75" type="#_x0000_t75" style="height:13.5pt;width:20.5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14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631.17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10"/>
              </w:rPr>
              <w:pict>
                <v:shape id="_x0000_i1115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16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30.00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</w:tcPr>
          <w:p>
            <w:r>
              <w:rPr>
                <w:position w:val="-6"/>
              </w:rPr>
              <w:pict>
                <v:shape id="_x0000_i1117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>
            <w:r>
              <w:rPr>
                <w:position w:val="-6"/>
              </w:rPr>
              <w:pict>
                <v:shape id="_x0000_i1118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0.08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28"/>
              </w:rPr>
              <w:pict>
                <v:shape id="_x0000_i1119" o:spt="75" type="#_x0000_t75" style="height:43.5pt;width:142.5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20" o:spt="75" type="#_x0000_t75" style="height:16.5pt;width:25pt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/>
              </w:rPr>
              <w:t>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>
      <w:pPr>
        <w:widowControl/>
        <w:jc w:val="left"/>
      </w:pPr>
    </w:p>
    <w:p>
      <w:pPr>
        <w:pStyle w:val="4"/>
        <w:spacing w:line="240" w:lineRule="atLeast"/>
        <w:rPr>
          <w:kern w:val="2"/>
        </w:rPr>
      </w:pPr>
      <w:bookmarkStart w:id="55" w:name="_Toc58923791"/>
      <w:bookmarkStart w:id="56" w:name="构造ID"/>
      <w:bookmarkStart w:id="57" w:name="DataTab"/>
      <w:r>
        <w:rPr>
          <w:rFonts w:hint="eastAsia"/>
          <w:kern w:val="2"/>
        </w:rPr>
        <w:t>阳台隔墙构造一</w:t>
      </w:r>
      <w:bookmarkEnd w:id="55"/>
      <w:bookmarkEnd w:id="56"/>
    </w:p>
    <w:tbl>
      <w:tblPr>
        <w:tblStyle w:val="20"/>
        <w:tblW w:w="94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bookmarkStart w:id="58" w:name="构造表"/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vAlign w:val="center"/>
          </w:tcPr>
          <w:p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抗裂砂浆</w:t>
            </w:r>
          </w:p>
        </w:tc>
        <w:tc>
          <w:tcPr>
            <w:tcW w:w="848" w:type="dxa"/>
            <w:vAlign w:val="center"/>
          </w:tcPr>
          <w:p>
            <w:r>
              <w:t>5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0.0140</w:t>
            </w:r>
          </w:p>
        </w:tc>
        <w:tc>
          <w:tcPr>
            <w:tcW w:w="993" w:type="dxa"/>
            <w:vAlign w:val="center"/>
          </w:tcPr>
          <w:p>
            <w:r>
              <w:t>0.005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专用抹面砂浆</w:t>
            </w:r>
          </w:p>
        </w:tc>
        <w:tc>
          <w:tcPr>
            <w:tcW w:w="848" w:type="dxa"/>
            <w:vAlign w:val="center"/>
          </w:tcPr>
          <w:p>
            <w:r>
              <w:t>5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0.0140</w:t>
            </w:r>
          </w:p>
        </w:tc>
        <w:tc>
          <w:tcPr>
            <w:tcW w:w="993" w:type="dxa"/>
            <w:vAlign w:val="center"/>
          </w:tcPr>
          <w:p>
            <w:r>
              <w:t>0.005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蒸压加气混凝土砌块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0.140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600.00</w:t>
            </w:r>
          </w:p>
        </w:tc>
        <w:tc>
          <w:tcPr>
            <w:tcW w:w="1559" w:type="dxa"/>
            <w:vAlign w:val="center"/>
          </w:tcPr>
          <w:p>
            <w:r>
              <w:t>0.0140</w:t>
            </w:r>
          </w:p>
        </w:tc>
        <w:tc>
          <w:tcPr>
            <w:tcW w:w="993" w:type="dxa"/>
            <w:vAlign w:val="center"/>
          </w:tcPr>
          <w:p>
            <w:r>
              <w:t>1.429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水泥砂浆（1）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0.0430</w:t>
            </w:r>
          </w:p>
        </w:tc>
        <w:tc>
          <w:tcPr>
            <w:tcW w:w="993" w:type="dxa"/>
            <w:vAlign w:val="center"/>
          </w:tcPr>
          <w:p>
            <w:r>
              <w:t>0.022</w:t>
            </w:r>
          </w:p>
        </w:tc>
      </w:tr>
      <w:bookmarkEnd w:id="58"/>
    </w:tbl>
    <w:p>
      <w:pPr>
        <w:pStyle w:val="3"/>
        <w:ind w:left="1470" w:right="1470"/>
      </w:pPr>
    </w:p>
    <w:p>
      <w:pPr>
        <w:pStyle w:val="5"/>
      </w:pPr>
      <w:bookmarkStart w:id="59" w:name="_Toc58923792"/>
      <w:r>
        <w:rPr>
          <w:rFonts w:hint="eastAsia"/>
        </w:rPr>
        <w:t>冷凝计算界面至围护结构内表面之间的热阻</w:t>
      </w:r>
      <w:r>
        <w:pict>
          <v:shape id="_x0000_i1121" o:spt="75" type="#_x0000_t75" style="height:13.5pt;width:19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bookmarkEnd w:id="59"/>
    </w:p>
    <w:p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122" o:spt="75" type="#_x0000_t75" style="height:13.5pt;width:19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bookmarkStart w:id="60" w:name="R_o_i"/>
      <w:r>
        <w:rPr>
          <w:rFonts w:hint="eastAsia"/>
        </w:rPr>
        <w:t>1.45</w:t>
      </w:r>
      <w:bookmarkEnd w:id="60"/>
    </w:p>
    <w:p>
      <w:pPr>
        <w:pStyle w:val="5"/>
        <w:ind w:right="1470"/>
      </w:pPr>
      <w:bookmarkStart w:id="61" w:name="_Toc58923793"/>
      <w:r>
        <w:rPr>
          <w:rFonts w:hint="eastAsia"/>
        </w:rPr>
        <w:t>冷凝计算界面温度</w:t>
      </w:r>
      <w:r>
        <w:rPr>
          <w:position w:val="-6"/>
        </w:rPr>
        <w:pict>
          <v:shape id="_x0000_i1123" o:spt="75" type="#_x0000_t75" style="height:13.5pt;width:13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bookmarkEnd w:id="61"/>
    </w:p>
    <w:p>
      <w:pPr>
        <w:jc w:val="center"/>
      </w:pPr>
      <w:r>
        <w:pict>
          <v:shape id="_x0000_i1124" o:spt="75" type="#_x0000_t75" style="height:33pt;width:112pt;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</w:pict>
      </w:r>
    </w:p>
    <w:p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125" o:spt="75" type="#_x0000_t75" style="height:13.5pt;width:13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t>=</w:t>
      </w:r>
      <w:bookmarkStart w:id="62" w:name="θ_c"/>
      <w:r>
        <w:rPr>
          <w:rFonts w:hint="eastAsia"/>
        </w:rPr>
        <w:t>0.66</w:t>
      </w:r>
      <w:bookmarkEnd w:id="62"/>
    </w:p>
    <w:p>
      <w:pPr>
        <w:pStyle w:val="5"/>
        <w:ind w:right="1470"/>
      </w:pPr>
      <w:bookmarkStart w:id="63" w:name="_Toc58923794"/>
      <w:r>
        <w:rPr>
          <w:rStyle w:val="32"/>
          <w:rFonts w:hint="eastAsia"/>
          <w:b/>
          <w:bCs w:val="0"/>
        </w:rPr>
        <w:t>围护结构冷凝受潮验算</w:t>
      </w:r>
      <w:bookmarkEnd w:id="63"/>
    </w:p>
    <w:tbl>
      <w:tblPr>
        <w:tblStyle w:val="20"/>
        <w:tblW w:w="99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2693"/>
        <w:gridCol w:w="1374"/>
        <w:gridCol w:w="27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126" o:spt="75" type="#_x0000_t75" style="height:13.5pt;width:20.5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27" o:spt="75" type="#_x0000_t75" style="height:13.5pt;width:20.5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8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9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30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31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64" w:name="H_o_i"/>
            <w:r>
              <w:rPr>
                <w:rFonts w:hint="eastAsia"/>
              </w:rPr>
              <w:t>14750.83</w:t>
            </w:r>
            <w:bookmarkEnd w:id="64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32" o:spt="75" type="#_x0000_t75" style="height:13.5pt;width:22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33" o:spt="75" type="#_x0000_t75" style="height:13.5pt;width:22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34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35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36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37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65" w:name="H_o_e"/>
            <w:r>
              <w:rPr>
                <w:rFonts w:hint="eastAsia"/>
              </w:rPr>
              <w:t>714.29</w:t>
            </w:r>
            <w:bookmarkEnd w:id="65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38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39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66" w:name="Pi"/>
            <w:r>
              <w:rPr>
                <w:rFonts w:hint="eastAsia"/>
              </w:rPr>
              <w:t>1237.20</w:t>
            </w:r>
            <w:bookmarkEnd w:id="66"/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40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41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67" w:name="Pe"/>
            <w:r>
              <w:rPr>
                <w:rFonts w:hint="eastAsia"/>
              </w:rPr>
              <w:t>264.67</w:t>
            </w:r>
            <w:bookmarkEnd w:id="67"/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42" o:spt="75" type="#_x0000_t75" style="height:13.5pt;width:20.5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43" o:spt="75" type="#_x0000_t75" style="height:13.5pt;width:20.5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44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68" w:name="Psc"/>
            <w:r>
              <w:rPr>
                <w:rFonts w:hint="eastAsia"/>
              </w:rPr>
              <w:t>640.88</w:t>
            </w:r>
            <w:bookmarkEnd w:id="68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10"/>
              </w:rPr>
              <w:pict>
                <v:shape id="_x0000_i1145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46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69" w:name="ρ"/>
            <w:r>
              <w:rPr>
                <w:rFonts w:hint="eastAsia"/>
              </w:rPr>
              <w:t>600.00</w:t>
            </w:r>
            <w:bookmarkEnd w:id="69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</w:tcPr>
          <w:p>
            <w:r>
              <w:rPr>
                <w:position w:val="-6"/>
              </w:rPr>
              <w:pict>
                <v:shape id="_x0000_i1147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>
            <w:r>
              <w:rPr>
                <w:position w:val="-6"/>
              </w:rPr>
              <w:pict>
                <v:shape id="_x0000_i1148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0" w:name="δi"/>
            <w:r>
              <w:rPr>
                <w:rFonts w:hint="eastAsia"/>
              </w:rPr>
              <w:t>0.20</w:t>
            </w:r>
            <w:bookmarkEnd w:id="70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28"/>
              </w:rPr>
              <w:pict>
                <v:shape id="_x0000_i1149" o:spt="75" type="#_x0000_t75" style="height:43.5pt;width:142.5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50" o:spt="75" type="#_x0000_t75" style="height:16.5pt;width:25pt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1" w:name="ω_l"/>
            <w:r>
              <w:rPr>
                <w:rFonts w:hint="eastAsia"/>
              </w:rPr>
              <w:t>0.00</w:t>
            </w:r>
            <w:bookmarkEnd w:id="71"/>
          </w:p>
        </w:tc>
        <w:tc>
          <w:tcPr>
            <w:tcW w:w="2737" w:type="dxa"/>
            <w:vAlign w:val="center"/>
          </w:tcPr>
          <w:p>
            <w:r>
              <w:rPr>
                <w:rFonts w:hint="eastAsia"/>
              </w:rPr>
              <w:t>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72" w:name="ω"/>
            <w:r>
              <w:rPr>
                <w:rFonts w:hint="eastAsia"/>
              </w:rPr>
              <w:t>4.00</w:t>
            </w:r>
            <w:bookmarkEnd w:id="72"/>
          </w:p>
        </w:tc>
      </w:tr>
    </w:tbl>
    <w:p>
      <w:pPr>
        <w:widowControl/>
        <w:jc w:val="left"/>
      </w:pPr>
    </w:p>
    <w:bookmarkEnd w:id="57"/>
    <w:p>
      <w:pPr>
        <w:pStyle w:val="2"/>
      </w:pPr>
      <w:bookmarkStart w:id="73" w:name="_Toc58923795"/>
      <w:r>
        <w:t>验算结论</w:t>
      </w:r>
      <w:bookmarkEnd w:id="73"/>
    </w:p>
    <w:tbl>
      <w:tblPr>
        <w:tblStyle w:val="20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3113"/>
        <w:gridCol w:w="1811"/>
        <w:gridCol w:w="1811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shd w:val="clear" w:color="auto" w:fill="DEDEDE"/>
            <w:vAlign w:val="center"/>
          </w:tcPr>
          <w:p>
            <w:r>
              <w:t>类型</w:t>
            </w:r>
          </w:p>
        </w:tc>
        <w:tc>
          <w:tcPr>
            <w:tcW w:w="3112" w:type="dxa"/>
            <w:shd w:val="clear" w:color="auto" w:fill="DEDEDE"/>
            <w:vAlign w:val="center"/>
          </w:tcPr>
          <w:p>
            <w:r>
              <w:t>构造</w:t>
            </w:r>
          </w:p>
        </w:tc>
        <w:tc>
          <w:tcPr>
            <w:tcW w:w="1811" w:type="dxa"/>
            <w:shd w:val="clear" w:color="auto" w:fill="DEDEDE"/>
            <w:vAlign w:val="center"/>
          </w:tcPr>
          <w:p>
            <w:r>
              <w:t>增量限值(%)</w:t>
            </w:r>
          </w:p>
        </w:tc>
        <w:tc>
          <w:tcPr>
            <w:tcW w:w="1811" w:type="dxa"/>
            <w:shd w:val="clear" w:color="auto" w:fill="DEDEDE"/>
            <w:vAlign w:val="center"/>
          </w:tcPr>
          <w:p>
            <w:r>
              <w:t>实际增量(%)</w:t>
            </w:r>
          </w:p>
        </w:tc>
        <w:tc>
          <w:tcPr>
            <w:tcW w:w="1188" w:type="dxa"/>
            <w:shd w:val="clear" w:color="auto" w:fill="DEDEDE"/>
            <w:vAlign w:val="center"/>
          </w:tcPr>
          <w:p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Align w:val="center"/>
          </w:tcPr>
          <w:p>
            <w:r>
              <w:t>屋顶</w:t>
            </w:r>
          </w:p>
        </w:tc>
        <w:tc>
          <w:tcPr>
            <w:tcW w:w="3112" w:type="dxa"/>
            <w:vAlign w:val="center"/>
          </w:tcPr>
          <w:p>
            <w:r>
              <w:t>平屋面 挤塑聚苯板170</w:t>
            </w:r>
          </w:p>
        </w:tc>
        <w:tc>
          <w:tcPr>
            <w:tcW w:w="1811" w:type="dxa"/>
            <w:vAlign w:val="center"/>
          </w:tcPr>
          <w:p>
            <w:r>
              <w:t>10</w:t>
            </w:r>
          </w:p>
        </w:tc>
        <w:tc>
          <w:tcPr>
            <w:tcW w:w="1811" w:type="dxa"/>
            <w:vAlign w:val="center"/>
          </w:tcPr>
          <w:p>
            <w:r>
              <w:t>0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Align w:val="center"/>
          </w:tcPr>
          <w:p>
            <w:r>
              <w:t>外墙</w:t>
            </w:r>
          </w:p>
        </w:tc>
        <w:tc>
          <w:tcPr>
            <w:tcW w:w="3112" w:type="dxa"/>
            <w:vAlign w:val="center"/>
          </w:tcPr>
          <w:p>
            <w:r>
              <w:t>混凝土剪力墙200+挤塑聚苯板80</w:t>
            </w:r>
          </w:p>
        </w:tc>
        <w:tc>
          <w:tcPr>
            <w:tcW w:w="1811" w:type="dxa"/>
            <w:vAlign w:val="center"/>
          </w:tcPr>
          <w:p>
            <w:r>
              <w:t>10</w:t>
            </w:r>
          </w:p>
        </w:tc>
        <w:tc>
          <w:tcPr>
            <w:tcW w:w="1811" w:type="dxa"/>
            <w:vAlign w:val="center"/>
          </w:tcPr>
          <w:p>
            <w:r>
              <w:t>0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Align w:val="center"/>
          </w:tcPr>
          <w:p>
            <w:r>
              <w:t>阳台隔墙</w:t>
            </w:r>
          </w:p>
        </w:tc>
        <w:tc>
          <w:tcPr>
            <w:tcW w:w="3112" w:type="dxa"/>
            <w:vAlign w:val="center"/>
          </w:tcPr>
          <w:p>
            <w:r>
              <w:t>阳台隔墙构造一</w:t>
            </w:r>
          </w:p>
        </w:tc>
        <w:tc>
          <w:tcPr>
            <w:tcW w:w="1811" w:type="dxa"/>
            <w:vAlign w:val="center"/>
          </w:tcPr>
          <w:p>
            <w:r>
              <w:t>4</w:t>
            </w:r>
          </w:p>
        </w:tc>
        <w:tc>
          <w:tcPr>
            <w:tcW w:w="1811" w:type="dxa"/>
            <w:vAlign w:val="center"/>
          </w:tcPr>
          <w:p>
            <w:r>
              <w:t>0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</w:tbl>
    <w:p>
      <w:pPr>
        <w:widowControl/>
        <w:jc w:val="left"/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rPr>
        <w:rFonts w:hint="eastAsia" w:ascii="宋体" w:hAnsi="宋体"/>
        <w:sz w:val="21"/>
        <w:szCs w:val="21"/>
      </w:rPr>
      <w:t xml:space="preserve">第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PAGE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/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NUMPAGES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both"/>
    </w:pPr>
    <w:r>
      <w:drawing>
        <wp:inline distT="0" distB="0" distL="0" distR="0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图片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69497065"/>
    <w:multiLevelType w:val="multilevel"/>
    <w:tmpl w:val="6949706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1CB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90856"/>
    <w:rsid w:val="00091778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577F0"/>
    <w:rsid w:val="001611A7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B6C9B"/>
    <w:rsid w:val="001B7877"/>
    <w:rsid w:val="001C00E7"/>
    <w:rsid w:val="001C5A7B"/>
    <w:rsid w:val="001E4004"/>
    <w:rsid w:val="001F3390"/>
    <w:rsid w:val="001F4F6C"/>
    <w:rsid w:val="00231194"/>
    <w:rsid w:val="0024070B"/>
    <w:rsid w:val="00240EC2"/>
    <w:rsid w:val="0027727F"/>
    <w:rsid w:val="00282DF5"/>
    <w:rsid w:val="002A5E42"/>
    <w:rsid w:val="002B2C77"/>
    <w:rsid w:val="002B5E55"/>
    <w:rsid w:val="002B76E4"/>
    <w:rsid w:val="002D6B2F"/>
    <w:rsid w:val="002E1B9B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76607"/>
    <w:rsid w:val="00377277"/>
    <w:rsid w:val="00386168"/>
    <w:rsid w:val="003939B0"/>
    <w:rsid w:val="003A69B5"/>
    <w:rsid w:val="003A6EFB"/>
    <w:rsid w:val="003B6F8A"/>
    <w:rsid w:val="003C2C73"/>
    <w:rsid w:val="003E5517"/>
    <w:rsid w:val="003F135F"/>
    <w:rsid w:val="003F6427"/>
    <w:rsid w:val="00400FD8"/>
    <w:rsid w:val="004300F4"/>
    <w:rsid w:val="00430148"/>
    <w:rsid w:val="00431405"/>
    <w:rsid w:val="00447C20"/>
    <w:rsid w:val="00452E2F"/>
    <w:rsid w:val="004556B3"/>
    <w:rsid w:val="00464AC4"/>
    <w:rsid w:val="00467230"/>
    <w:rsid w:val="0049117E"/>
    <w:rsid w:val="00491C89"/>
    <w:rsid w:val="00495EFD"/>
    <w:rsid w:val="004A676E"/>
    <w:rsid w:val="004B1BD3"/>
    <w:rsid w:val="004B2B00"/>
    <w:rsid w:val="004B5CEB"/>
    <w:rsid w:val="004C2C08"/>
    <w:rsid w:val="004C416D"/>
    <w:rsid w:val="004C772F"/>
    <w:rsid w:val="004C7C6B"/>
    <w:rsid w:val="004D29C2"/>
    <w:rsid w:val="004E31C9"/>
    <w:rsid w:val="004E53B8"/>
    <w:rsid w:val="005012CD"/>
    <w:rsid w:val="00504D39"/>
    <w:rsid w:val="0050552D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B03"/>
    <w:rsid w:val="005734B3"/>
    <w:rsid w:val="00574037"/>
    <w:rsid w:val="005A30A0"/>
    <w:rsid w:val="005A4C09"/>
    <w:rsid w:val="005A6A34"/>
    <w:rsid w:val="005B01B5"/>
    <w:rsid w:val="005B2230"/>
    <w:rsid w:val="005B73FD"/>
    <w:rsid w:val="005E215F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73755"/>
    <w:rsid w:val="00894904"/>
    <w:rsid w:val="0089552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32761"/>
    <w:rsid w:val="00A351F6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70F9"/>
    <w:rsid w:val="00BA0784"/>
    <w:rsid w:val="00BA0B17"/>
    <w:rsid w:val="00BA56E7"/>
    <w:rsid w:val="00BC7076"/>
    <w:rsid w:val="00BD0D2A"/>
    <w:rsid w:val="00BE2D61"/>
    <w:rsid w:val="00BF59AD"/>
    <w:rsid w:val="00C011AF"/>
    <w:rsid w:val="00C026F3"/>
    <w:rsid w:val="00C054D0"/>
    <w:rsid w:val="00C10401"/>
    <w:rsid w:val="00C20461"/>
    <w:rsid w:val="00C34844"/>
    <w:rsid w:val="00C36178"/>
    <w:rsid w:val="00C60674"/>
    <w:rsid w:val="00C60D5D"/>
    <w:rsid w:val="00C66112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5640"/>
    <w:rsid w:val="00D46BD1"/>
    <w:rsid w:val="00D47A95"/>
    <w:rsid w:val="00D528E7"/>
    <w:rsid w:val="00D55050"/>
    <w:rsid w:val="00D562E0"/>
    <w:rsid w:val="00D60B8C"/>
    <w:rsid w:val="00D60BFB"/>
    <w:rsid w:val="00D7656E"/>
    <w:rsid w:val="00D772A9"/>
    <w:rsid w:val="00D92904"/>
    <w:rsid w:val="00D92A2B"/>
    <w:rsid w:val="00DA48B1"/>
    <w:rsid w:val="00DA7566"/>
    <w:rsid w:val="00DC0007"/>
    <w:rsid w:val="00DC2299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3223"/>
    <w:rsid w:val="00E461BA"/>
    <w:rsid w:val="00E47CA8"/>
    <w:rsid w:val="00E550E9"/>
    <w:rsid w:val="00E62CAB"/>
    <w:rsid w:val="00E631B6"/>
    <w:rsid w:val="00E70F18"/>
    <w:rsid w:val="00E94DAA"/>
    <w:rsid w:val="00EA2DCF"/>
    <w:rsid w:val="00EA5041"/>
    <w:rsid w:val="00EA67B5"/>
    <w:rsid w:val="00EB1894"/>
    <w:rsid w:val="00EB4739"/>
    <w:rsid w:val="00EB73E7"/>
    <w:rsid w:val="00EC0097"/>
    <w:rsid w:val="00EC091B"/>
    <w:rsid w:val="00EE1B15"/>
    <w:rsid w:val="00EF3F30"/>
    <w:rsid w:val="00F0466A"/>
    <w:rsid w:val="00F11D8A"/>
    <w:rsid w:val="00F206C5"/>
    <w:rsid w:val="00F2136F"/>
    <w:rsid w:val="00F2650F"/>
    <w:rsid w:val="00F32A1B"/>
    <w:rsid w:val="00F3652C"/>
    <w:rsid w:val="00F40508"/>
    <w:rsid w:val="00F52375"/>
    <w:rsid w:val="00F54048"/>
    <w:rsid w:val="00F579EF"/>
    <w:rsid w:val="00F645AA"/>
    <w:rsid w:val="00F80BF0"/>
    <w:rsid w:val="00F9357F"/>
    <w:rsid w:val="00F94530"/>
    <w:rsid w:val="00F94640"/>
    <w:rsid w:val="00F94707"/>
    <w:rsid w:val="00F951D3"/>
    <w:rsid w:val="00FB2E10"/>
    <w:rsid w:val="00FB4EEB"/>
    <w:rsid w:val="00FC25B1"/>
    <w:rsid w:val="00FC29E3"/>
    <w:rsid w:val="00FC41F8"/>
    <w:rsid w:val="00FD61CB"/>
    <w:rsid w:val="00FE11DE"/>
    <w:rsid w:val="00FE2B54"/>
    <w:rsid w:val="00FE48A4"/>
    <w:rsid w:val="00FF517B"/>
    <w:rsid w:val="00FF5295"/>
    <w:rsid w:val="00FF6537"/>
    <w:rsid w:val="4F1F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39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31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2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3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34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35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36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37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38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uiPriority w:val="39"/>
    <w:pPr>
      <w:ind w:left="840" w:leftChars="400"/>
    </w:pPr>
  </w:style>
  <w:style w:type="paragraph" w:styleId="14">
    <w:name w:val="Balloon Text"/>
    <w:basedOn w:val="1"/>
    <w:link w:val="42"/>
    <w:uiPriority w:val="0"/>
    <w:rPr>
      <w:sz w:val="18"/>
      <w:szCs w:val="18"/>
    </w:rPr>
  </w:style>
  <w:style w:type="paragraph" w:styleId="15">
    <w:name w:val="footer"/>
    <w:basedOn w:val="1"/>
    <w:link w:val="2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uiPriority w:val="39"/>
    <w:rPr>
      <w:b/>
    </w:rPr>
  </w:style>
  <w:style w:type="paragraph" w:styleId="18">
    <w:name w:val="toc 2"/>
    <w:basedOn w:val="1"/>
    <w:next w:val="1"/>
    <w:uiPriority w:val="39"/>
    <w:pPr>
      <w:ind w:left="420" w:leftChars="200"/>
    </w:pPr>
  </w:style>
  <w:style w:type="paragraph" w:styleId="19">
    <w:name w:val="Title"/>
    <w:basedOn w:val="1"/>
    <w:next w:val="1"/>
    <w:link w:val="29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21">
    <w:name w:val="Table Grid"/>
    <w:basedOn w:val="2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page number"/>
    <w:basedOn w:val="22"/>
    <w:uiPriority w:val="0"/>
  </w:style>
  <w:style w:type="character" w:styleId="24">
    <w:name w:val="Hyperlink"/>
    <w:unhideWhenUsed/>
    <w:uiPriority w:val="99"/>
    <w:rPr>
      <w:color w:val="0563C1"/>
      <w:u w:val="single"/>
    </w:rPr>
  </w:style>
  <w:style w:type="character" w:customStyle="1" w:styleId="25">
    <w:name w:val="页眉 字符1"/>
    <w:link w:val="16"/>
    <w:uiPriority w:val="0"/>
    <w:rPr>
      <w:kern w:val="2"/>
      <w:sz w:val="18"/>
      <w:szCs w:val="18"/>
    </w:rPr>
  </w:style>
  <w:style w:type="character" w:customStyle="1" w:styleId="26">
    <w:name w:val="页脚 字符1"/>
    <w:link w:val="15"/>
    <w:uiPriority w:val="99"/>
    <w:rPr>
      <w:kern w:val="2"/>
      <w:sz w:val="18"/>
      <w:szCs w:val="18"/>
    </w:rPr>
  </w:style>
  <w:style w:type="character" w:customStyle="1" w:styleId="27">
    <w:name w:val="页眉 字符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脚 字符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标题 字符"/>
    <w:link w:val="19"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30">
    <w:name w:val="标题 1 Char"/>
    <w:uiPriority w:val="0"/>
    <w:rPr>
      <w:b/>
      <w:bCs/>
      <w:kern w:val="44"/>
      <w:sz w:val="44"/>
      <w:szCs w:val="44"/>
    </w:rPr>
  </w:style>
  <w:style w:type="character" w:customStyle="1" w:styleId="31">
    <w:name w:val="标题 2 字符1"/>
    <w:link w:val="4"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32">
    <w:name w:val="标题 3 字符"/>
    <w:link w:val="5"/>
    <w:uiPriority w:val="0"/>
    <w:rPr>
      <w:rFonts w:ascii="宋体" w:hAnsi="宋体" w:cs="Arial"/>
      <w:b/>
      <w:bCs/>
      <w:sz w:val="21"/>
      <w:szCs w:val="21"/>
    </w:rPr>
  </w:style>
  <w:style w:type="character" w:customStyle="1" w:styleId="33">
    <w:name w:val="标题 4 字符"/>
    <w:link w:val="6"/>
    <w:uiPriority w:val="0"/>
    <w:rPr>
      <w:b/>
      <w:bCs/>
      <w:sz w:val="21"/>
      <w:szCs w:val="28"/>
      <w:lang w:val="en-GB"/>
    </w:rPr>
  </w:style>
  <w:style w:type="character" w:customStyle="1" w:styleId="34">
    <w:name w:val="标题 5 字符"/>
    <w:link w:val="7"/>
    <w:uiPriority w:val="0"/>
    <w:rPr>
      <w:b/>
      <w:bCs/>
      <w:iCs/>
      <w:sz w:val="21"/>
      <w:szCs w:val="26"/>
      <w:lang w:val="en-GB"/>
    </w:rPr>
  </w:style>
  <w:style w:type="character" w:customStyle="1" w:styleId="35">
    <w:name w:val="标题 6 字符"/>
    <w:link w:val="8"/>
    <w:uiPriority w:val="0"/>
    <w:rPr>
      <w:b/>
      <w:bCs/>
      <w:sz w:val="21"/>
      <w:szCs w:val="22"/>
      <w:lang w:val="en-GB"/>
    </w:rPr>
  </w:style>
  <w:style w:type="character" w:customStyle="1" w:styleId="36">
    <w:name w:val="标题 7 字符"/>
    <w:link w:val="9"/>
    <w:uiPriority w:val="0"/>
    <w:rPr>
      <w:sz w:val="24"/>
      <w:szCs w:val="24"/>
      <w:lang w:val="en-GB"/>
    </w:rPr>
  </w:style>
  <w:style w:type="character" w:customStyle="1" w:styleId="37">
    <w:name w:val="标题 8 字符"/>
    <w:link w:val="10"/>
    <w:uiPriority w:val="0"/>
    <w:rPr>
      <w:i/>
      <w:iCs/>
      <w:sz w:val="24"/>
      <w:szCs w:val="24"/>
      <w:lang w:val="en-GB"/>
    </w:rPr>
  </w:style>
  <w:style w:type="character" w:customStyle="1" w:styleId="38">
    <w:name w:val="标题 9 字符"/>
    <w:link w:val="11"/>
    <w:uiPriority w:val="0"/>
    <w:rPr>
      <w:rFonts w:ascii="Arial" w:hAnsi="Arial" w:cs="Arial"/>
      <w:sz w:val="22"/>
      <w:szCs w:val="22"/>
      <w:lang w:val="en-GB"/>
    </w:rPr>
  </w:style>
  <w:style w:type="character" w:customStyle="1" w:styleId="39">
    <w:name w:val="标题 1 字符"/>
    <w:link w:val="2"/>
    <w:uiPriority w:val="0"/>
    <w:rPr>
      <w:b/>
      <w:bCs/>
      <w:kern w:val="32"/>
      <w:sz w:val="28"/>
      <w:szCs w:val="28"/>
    </w:rPr>
  </w:style>
  <w:style w:type="character" w:customStyle="1" w:styleId="40">
    <w:name w:val="标题 2 字符"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批注框文本 字符"/>
    <w:link w:val="14"/>
    <w:uiPriority w:val="0"/>
    <w:rPr>
      <w:kern w:val="2"/>
      <w:sz w:val="18"/>
      <w:szCs w:val="18"/>
    </w:rPr>
  </w:style>
  <w:style w:type="character" w:styleId="43">
    <w:name w:val="Placeholder Text"/>
    <w:semiHidden/>
    <w:uiPriority w:val="99"/>
    <w:rPr>
      <w:color w:val="808080"/>
    </w:rPr>
  </w:style>
  <w:style w:type="paragraph" w:customStyle="1" w:styleId="44">
    <w:name w:val="TOC Heading"/>
    <w:basedOn w:val="2"/>
    <w:next w:val="1"/>
    <w:qFormat/>
    <w:uiPriority w:val="39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5">
    <w:name w:val="页眉 Char1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9" Type="http://schemas.openxmlformats.org/officeDocument/2006/relationships/fontTable" Target="fontTable.xml"/><Relationship Id="rId78" Type="http://schemas.openxmlformats.org/officeDocument/2006/relationships/customXml" Target="../customXml/item2.xml"/><Relationship Id="rId77" Type="http://schemas.openxmlformats.org/officeDocument/2006/relationships/numbering" Target="numbering.xml"/><Relationship Id="rId76" Type="http://schemas.openxmlformats.org/officeDocument/2006/relationships/customXml" Target="../customXml/item1.xml"/><Relationship Id="rId75" Type="http://schemas.openxmlformats.org/officeDocument/2006/relationships/oleObject" Target="embeddings/oleObject44.bin"/><Relationship Id="rId74" Type="http://schemas.openxmlformats.org/officeDocument/2006/relationships/oleObject" Target="embeddings/oleObject43.bin"/><Relationship Id="rId73" Type="http://schemas.openxmlformats.org/officeDocument/2006/relationships/oleObject" Target="embeddings/oleObject42.bin"/><Relationship Id="rId72" Type="http://schemas.openxmlformats.org/officeDocument/2006/relationships/oleObject" Target="embeddings/oleObject41.bin"/><Relationship Id="rId71" Type="http://schemas.openxmlformats.org/officeDocument/2006/relationships/oleObject" Target="embeddings/oleObject40.bin"/><Relationship Id="rId70" Type="http://schemas.openxmlformats.org/officeDocument/2006/relationships/oleObject" Target="embeddings/oleObject39.bin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8.bin"/><Relationship Id="rId68" Type="http://schemas.openxmlformats.org/officeDocument/2006/relationships/oleObject" Target="embeddings/oleObject37.bin"/><Relationship Id="rId67" Type="http://schemas.openxmlformats.org/officeDocument/2006/relationships/oleObject" Target="embeddings/oleObject36.bin"/><Relationship Id="rId66" Type="http://schemas.openxmlformats.org/officeDocument/2006/relationships/oleObject" Target="embeddings/oleObject35.bin"/><Relationship Id="rId65" Type="http://schemas.openxmlformats.org/officeDocument/2006/relationships/oleObject" Target="embeddings/oleObject34.bin"/><Relationship Id="rId64" Type="http://schemas.openxmlformats.org/officeDocument/2006/relationships/oleObject" Target="embeddings/oleObject33.bin"/><Relationship Id="rId63" Type="http://schemas.openxmlformats.org/officeDocument/2006/relationships/oleObject" Target="embeddings/oleObject32.bin"/><Relationship Id="rId62" Type="http://schemas.openxmlformats.org/officeDocument/2006/relationships/oleObject" Target="embeddings/oleObject31.bin"/><Relationship Id="rId61" Type="http://schemas.openxmlformats.org/officeDocument/2006/relationships/oleObject" Target="embeddings/oleObject30.bin"/><Relationship Id="rId60" Type="http://schemas.openxmlformats.org/officeDocument/2006/relationships/oleObject" Target="embeddings/oleObject29.bin"/><Relationship Id="rId6" Type="http://schemas.openxmlformats.org/officeDocument/2006/relationships/image" Target="media/image2.png"/><Relationship Id="rId59" Type="http://schemas.openxmlformats.org/officeDocument/2006/relationships/oleObject" Target="embeddings/oleObject28.bin"/><Relationship Id="rId58" Type="http://schemas.openxmlformats.org/officeDocument/2006/relationships/oleObject" Target="embeddings/oleObject27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6.bin"/><Relationship Id="rId55" Type="http://schemas.openxmlformats.org/officeDocument/2006/relationships/oleObject" Target="embeddings/oleObject25.bin"/><Relationship Id="rId54" Type="http://schemas.openxmlformats.org/officeDocument/2006/relationships/oleObject" Target="embeddings/oleObject24.bin"/><Relationship Id="rId53" Type="http://schemas.openxmlformats.org/officeDocument/2006/relationships/oleObject" Target="embeddings/oleObject23.bin"/><Relationship Id="rId52" Type="http://schemas.openxmlformats.org/officeDocument/2006/relationships/image" Target="media/image26.wmf"/><Relationship Id="rId51" Type="http://schemas.openxmlformats.org/officeDocument/2006/relationships/oleObject" Target="embeddings/oleObject22.bin"/><Relationship Id="rId50" Type="http://schemas.openxmlformats.org/officeDocument/2006/relationships/image" Target="media/image25.wmf"/><Relationship Id="rId5" Type="http://schemas.openxmlformats.org/officeDocument/2006/relationships/theme" Target="theme/theme1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3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0.wmf"/><Relationship Id="rId4" Type="http://schemas.openxmlformats.org/officeDocument/2006/relationships/footer" Target="footer1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5.wmf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3.wmf"/><Relationship Id="rId25" Type="http://schemas.openxmlformats.org/officeDocument/2006/relationships/oleObject" Target="embeddings/oleObject9.bin"/><Relationship Id="rId24" Type="http://schemas.openxmlformats.org/officeDocument/2006/relationships/image" Target="media/image12.wmf"/><Relationship Id="rId23" Type="http://schemas.openxmlformats.org/officeDocument/2006/relationships/oleObject" Target="embeddings/oleObject8.bin"/><Relationship Id="rId22" Type="http://schemas.openxmlformats.org/officeDocument/2006/relationships/image" Target="media/image11.wmf"/><Relationship Id="rId21" Type="http://schemas.openxmlformats.org/officeDocument/2006/relationships/oleObject" Target="embeddings/oleObject7.bin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wmf"/><Relationship Id="rId17" Type="http://schemas.openxmlformats.org/officeDocument/2006/relationships/oleObject" Target="embeddings/oleObject6.bin"/><Relationship Id="rId16" Type="http://schemas.openxmlformats.org/officeDocument/2006/relationships/image" Target="media/image7.wmf"/><Relationship Id="rId15" Type="http://schemas.openxmlformats.org/officeDocument/2006/relationships/oleObject" Target="embeddings/oleObject5.bin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s\AppData\Local\Temp\tmp7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000CBD-2BB4-4C8C-B79D-CC4AFF803B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tmp7.dotx</Template>
  <Pages>8</Pages>
  <Words>997</Words>
  <Characters>5687</Characters>
  <Lines>47</Lines>
  <Paragraphs>13</Paragraphs>
  <TotalTime>1</TotalTime>
  <ScaleCrop>false</ScaleCrop>
  <LinksUpToDate>false</LinksUpToDate>
  <CharactersWithSpaces>6671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2020-12-15T03:22:00Z</dcterms:created>
  <dc:creator>hus</dc:creator>
  <cp:lastModifiedBy>Calm   and     tranquil</cp:lastModifiedBy>
  <dcterms:modified xsi:type="dcterms:W3CDTF">2022-03-12T14:49:01Z</dcterms:modified>
  <dc:title>防潮验算计算书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2052-11.1.0.11194</vt:lpwstr>
  </property>
  <property fmtid="{D5CDD505-2E9C-101B-9397-08002B2CF9AE}" pid="4" name="ICV">
    <vt:lpwstr>9ECCEB82563A406F8D628B498CE1D4A5</vt:lpwstr>
  </property>
</Properties>
</file>