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昆明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2022年01月06日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bookmarkStart w:id="82"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_Toc8 </w:instrText>
      </w:r>
      <w:r>
        <w:rPr>
          <w:rFonts w:ascii="宋体" w:hAnsi="宋体"/>
          <w:bCs w:val="0"/>
          <w:caps/>
        </w:rPr>
        <w:fldChar w:fldCharType="separate"/>
      </w:r>
      <w:r>
        <w:rPr>
          <w:rFonts w:hint="eastAsia"/>
        </w:rPr>
        <w:t>1 项目概况</w:t>
      </w:r>
      <w:r>
        <w:tab/>
      </w:r>
      <w:r>
        <w:fldChar w:fldCharType="begin"/>
      </w:r>
      <w:r>
        <w:instrText xml:space="preserve"> PAGEREF _Toc8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_Toc1054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_Toc1054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_Toc28680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_Toc28680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_Toc1529 </w:instrText>
      </w:r>
      <w:r>
        <w:fldChar w:fldCharType="separate"/>
      </w:r>
      <w:r>
        <w:rPr>
          <w:rFonts w:hint="eastAsia"/>
        </w:rPr>
        <w:t>2 计算</w:t>
      </w:r>
      <w:r>
        <w:t>依据</w:t>
      </w:r>
      <w:r>
        <w:tab/>
      </w:r>
      <w:r>
        <w:fldChar w:fldCharType="begin"/>
      </w:r>
      <w:r>
        <w:instrText xml:space="preserve"> PAGEREF _Toc1529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_Toc12422 </w:instrText>
      </w:r>
      <w:r>
        <w:fldChar w:fldCharType="separate"/>
      </w:r>
      <w:r>
        <w:rPr>
          <w:rFonts w:hint="eastAsia"/>
        </w:rPr>
        <w:t>3 参考</w:t>
      </w:r>
      <w:r>
        <w:t>标准</w:t>
      </w:r>
      <w:r>
        <w:tab/>
      </w:r>
      <w:r>
        <w:fldChar w:fldCharType="begin"/>
      </w:r>
      <w:r>
        <w:instrText xml:space="preserve"> PAGEREF _Toc12422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_Toc16236 </w:instrText>
      </w:r>
      <w:r>
        <w:fldChar w:fldCharType="separate"/>
      </w:r>
      <w:r>
        <w:rPr>
          <w:rFonts w:hint="eastAsia"/>
        </w:rPr>
        <w:t>4 计算原理</w:t>
      </w:r>
      <w:r>
        <w:tab/>
      </w:r>
      <w:r>
        <w:fldChar w:fldCharType="begin"/>
      </w:r>
      <w:r>
        <w:instrText xml:space="preserve"> PAGEREF _Toc16236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_Toc11269 </w:instrText>
      </w:r>
      <w:r>
        <w:fldChar w:fldCharType="separate"/>
      </w:r>
      <w:r>
        <w:rPr>
          <w:rFonts w:hint="eastAsia"/>
          <w:lang w:val="en-GB"/>
        </w:rPr>
        <w:t xml:space="preserve">4.1 </w:t>
      </w:r>
      <w:r>
        <w:rPr>
          <w:rFonts w:hint="eastAsia"/>
        </w:rPr>
        <w:t>风场计算域</w:t>
      </w:r>
      <w:r>
        <w:tab/>
      </w:r>
      <w:r>
        <w:fldChar w:fldCharType="begin"/>
      </w:r>
      <w:r>
        <w:instrText xml:space="preserve"> PAGEREF _Toc11269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_Toc2955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_Toc2955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_Toc27001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_Toc27001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_Toc21728 </w:instrText>
      </w:r>
      <w:r>
        <w:fldChar w:fldCharType="separate"/>
      </w:r>
      <w:r>
        <w:rPr>
          <w:rFonts w:hint="eastAsia"/>
          <w:lang w:val="en-GB"/>
        </w:rPr>
        <w:t xml:space="preserve">4.2 </w:t>
      </w:r>
      <w:r>
        <w:rPr>
          <w:rFonts w:hint="eastAsia"/>
        </w:rPr>
        <w:t>网格划分</w:t>
      </w:r>
      <w:r>
        <w:tab/>
      </w:r>
      <w:r>
        <w:fldChar w:fldCharType="begin"/>
      </w:r>
      <w:r>
        <w:instrText xml:space="preserve"> PAGEREF _Toc21728 \h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_Toc21250 </w:instrText>
      </w:r>
      <w:r>
        <w:fldChar w:fldCharType="separate"/>
      </w:r>
      <w:r>
        <w:rPr>
          <w:rFonts w:hint="eastAsia"/>
          <w:lang w:val="en-GB"/>
        </w:rPr>
        <w:t xml:space="preserve">4.3 </w:t>
      </w:r>
      <w:r>
        <w:rPr>
          <w:rFonts w:hint="eastAsia"/>
        </w:rPr>
        <w:t>边界条件</w:t>
      </w:r>
      <w:r>
        <w:tab/>
      </w:r>
      <w:r>
        <w:fldChar w:fldCharType="begin"/>
      </w:r>
      <w:r>
        <w:instrText xml:space="preserve"> PAGEREF _Toc21250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_Toc26569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_Toc26569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_Toc19295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_Toc19295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_Toc3218 </w:instrText>
      </w:r>
      <w:r>
        <w:fldChar w:fldCharType="separate"/>
      </w:r>
      <w:r>
        <w:rPr>
          <w:rFonts w:hint="eastAsia"/>
          <w:lang w:val="en-GB"/>
        </w:rPr>
        <w:t xml:space="preserve">4.4 </w:t>
      </w:r>
      <w:r>
        <w:rPr>
          <w:rFonts w:hint="eastAsia"/>
        </w:rPr>
        <w:t>湍流模型</w:t>
      </w:r>
      <w:r>
        <w:tab/>
      </w:r>
      <w:r>
        <w:fldChar w:fldCharType="begin"/>
      </w:r>
      <w:r>
        <w:instrText xml:space="preserve"> PAGEREF _Toc3218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_Toc20486 </w:instrText>
      </w:r>
      <w:r>
        <w:fldChar w:fldCharType="separate"/>
      </w:r>
      <w:r>
        <w:rPr>
          <w:rFonts w:hint="eastAsia"/>
          <w:lang w:val="en-GB"/>
        </w:rPr>
        <w:t xml:space="preserve">4.5 </w:t>
      </w:r>
      <w:r>
        <w:rPr>
          <w:rFonts w:hint="eastAsia"/>
        </w:rPr>
        <w:t>求解计算</w:t>
      </w:r>
      <w:r>
        <w:tab/>
      </w:r>
      <w:r>
        <w:fldChar w:fldCharType="begin"/>
      </w:r>
      <w:r>
        <w:instrText xml:space="preserve"> PAGEREF _Toc20486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_Toc20401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_Toc20401 \h </w:instrText>
      </w:r>
      <w:r>
        <w:fldChar w:fldCharType="separate"/>
      </w:r>
      <w:r>
        <w:t>12</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_Toc20617 </w:instrText>
      </w:r>
      <w:r>
        <w:fldChar w:fldCharType="separate"/>
      </w:r>
      <w:r>
        <w:rPr>
          <w:rFonts w:hint="eastAsia"/>
        </w:rPr>
        <w:t>5 结果</w:t>
      </w:r>
      <w:r>
        <w:t>分析</w:t>
      </w:r>
      <w:r>
        <w:tab/>
      </w:r>
      <w:r>
        <w:fldChar w:fldCharType="begin"/>
      </w:r>
      <w:r>
        <w:instrText xml:space="preserve"> PAGEREF _Toc20617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_Toc12619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_Toc12619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_Toc29600 </w:instrText>
      </w:r>
      <w:r>
        <w:fldChar w:fldCharType="separate"/>
      </w:r>
      <w:r>
        <w:rPr>
          <w:rFonts w:hint="eastAsia"/>
          <w:lang w:val="en-GB"/>
        </w:rPr>
        <w:t xml:space="preserve">5.2 </w:t>
      </w:r>
      <w:r>
        <w:rPr>
          <w:rFonts w:hint="eastAsia"/>
        </w:rPr>
        <w:t>冬季工况</w:t>
      </w:r>
      <w:r>
        <w:tab/>
      </w:r>
      <w:r>
        <w:fldChar w:fldCharType="begin"/>
      </w:r>
      <w:r>
        <w:instrText xml:space="preserve"> PAGEREF _Toc29600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_Toc25665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_Toc25665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_Toc31535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_Toc31535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_Toc3303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_Toc3303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_Toc24937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_Toc24937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_Toc24400 </w:instrText>
      </w:r>
      <w:r>
        <w:fldChar w:fldCharType="separate"/>
      </w:r>
      <w:r>
        <w:rPr>
          <w:rFonts w:hint="eastAsia"/>
          <w:lang w:val="en-GB"/>
        </w:rPr>
        <w:t xml:space="preserve">5.3 </w:t>
      </w:r>
      <w:r>
        <w:rPr>
          <w:rFonts w:hint="eastAsia"/>
        </w:rPr>
        <w:t>夏季工况</w:t>
      </w:r>
      <w:r>
        <w:tab/>
      </w:r>
      <w:r>
        <w:fldChar w:fldCharType="begin"/>
      </w:r>
      <w:r>
        <w:instrText xml:space="preserve"> PAGEREF _Toc24400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_Toc27137 </w:instrText>
      </w:r>
      <w:r>
        <w:fldChar w:fldCharType="separate"/>
      </w:r>
      <w:r>
        <w:rPr>
          <w:rFonts w:hint="eastAsia" w:eastAsia="宋体"/>
          <w:szCs w:val="24"/>
          <w:lang w:val="en-GB"/>
        </w:rPr>
        <w:t xml:space="preserve">5.3.1 </w:t>
      </w:r>
      <w:r>
        <w:rPr>
          <w:rFonts w:hint="eastAsia"/>
        </w:rPr>
        <w:t>无风区计算分析</w:t>
      </w:r>
      <w:r>
        <w:tab/>
      </w:r>
      <w:r>
        <w:fldChar w:fldCharType="begin"/>
      </w:r>
      <w:r>
        <w:instrText xml:space="preserve"> PAGEREF _Toc27137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_Toc6315 </w:instrText>
      </w:r>
      <w:r>
        <w:fldChar w:fldCharType="separate"/>
      </w:r>
      <w:r>
        <w:rPr>
          <w:rFonts w:hint="eastAsia" w:eastAsia="宋体"/>
          <w:szCs w:val="24"/>
          <w:lang w:val="en-GB"/>
        </w:rPr>
        <w:t xml:space="preserve">5.3.2 </w:t>
      </w:r>
      <w:r>
        <w:rPr>
          <w:rFonts w:hint="eastAsia"/>
        </w:rPr>
        <w:t>旋涡区分析</w:t>
      </w:r>
      <w:r>
        <w:tab/>
      </w:r>
      <w:r>
        <w:fldChar w:fldCharType="begin"/>
      </w:r>
      <w:r>
        <w:instrText xml:space="preserve"> PAGEREF _Toc6315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_Toc19621 </w:instrText>
      </w:r>
      <w:r>
        <w:fldChar w:fldCharType="separate"/>
      </w:r>
      <w:r>
        <w:rPr>
          <w:rFonts w:hint="eastAsia" w:eastAsia="宋体"/>
          <w:szCs w:val="24"/>
          <w:lang w:val="en-GB"/>
        </w:rPr>
        <w:t xml:space="preserve">5.3.3 </w:t>
      </w:r>
      <w:r>
        <w:rPr>
          <w:rFonts w:hint="eastAsia"/>
        </w:rPr>
        <w:t>人行区域旋涡区/无风区达标判定</w:t>
      </w:r>
      <w:r>
        <w:tab/>
      </w:r>
      <w:r>
        <w:fldChar w:fldCharType="begin"/>
      </w:r>
      <w:r>
        <w:instrText xml:space="preserve"> PAGEREF _Toc19621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_Toc11327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_Toc11327 \h </w:instrText>
      </w:r>
      <w:r>
        <w:fldChar w:fldCharType="separate"/>
      </w:r>
      <w:r>
        <w:t>19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_Toc10379 </w:instrText>
      </w:r>
      <w:r>
        <w:fldChar w:fldCharType="separate"/>
      </w:r>
      <w:r>
        <w:rPr>
          <w:rFonts w:hint="eastAsia"/>
          <w:lang w:val="en-GB"/>
        </w:rPr>
        <w:t xml:space="preserve">5.4 </w:t>
      </w:r>
      <w:r>
        <w:rPr>
          <w:rFonts w:hint="eastAsia"/>
        </w:rPr>
        <w:t>结论</w:t>
      </w:r>
      <w:r>
        <w:tab/>
      </w:r>
      <w:r>
        <w:fldChar w:fldCharType="begin"/>
      </w:r>
      <w:r>
        <w:instrText xml:space="preserve"> PAGEREF _Toc10379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_Toc31052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_Toc31052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_Toc22779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_Toc22779 \h </w:instrText>
      </w:r>
      <w:r>
        <w:fldChar w:fldCharType="separate"/>
      </w:r>
      <w:r>
        <w:t>21</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8"/>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1054"/>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28680"/>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1529"/>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12422"/>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1698935"/>
      <w:bookmarkStart w:id="24" w:name="_Toc452108764"/>
      <w:bookmarkStart w:id="25"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16236"/>
      <w:r>
        <w:rPr>
          <w:rFonts w:hint="eastAsia"/>
        </w:rPr>
        <w:t>计算原理</w:t>
      </w:r>
      <w:bookmarkEnd w:id="26"/>
    </w:p>
    <w:p>
      <w:pPr>
        <w:pStyle w:val="4"/>
        <w:numPr>
          <w:ilvl w:val="1"/>
          <w:numId w:val="3"/>
        </w:numPr>
      </w:pPr>
      <w:bookmarkStart w:id="27" w:name="_Toc11269"/>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2955"/>
      <w:r>
        <w:rPr>
          <w:rFonts w:hint="eastAsia"/>
        </w:rPr>
        <w:t>冬季工况风场计算域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Z尺寸"/>
            <w:r>
              <w:t>111</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5"/>
        <w:numPr>
          <w:ilvl w:val="2"/>
          <w:numId w:val="3"/>
        </w:numPr>
      </w:pPr>
      <w:bookmarkStart w:id="33" w:name="_Toc27001"/>
      <w:r>
        <w:rPr>
          <w:rFonts w:hint="eastAsia"/>
        </w:rPr>
        <w:t>夏季工况风场计算域</w:t>
      </w:r>
      <w:bookmarkEnd w:id="33"/>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111</w:t>
            </w:r>
          </w:p>
        </w:tc>
      </w:tr>
    </w:tbl>
    <w:p>
      <w:pPr>
        <w:pStyle w:val="3"/>
        <w:ind w:firstLine="0" w:firstLineChars="0"/>
        <w:jc w:val="center"/>
        <w:rPr>
          <w:lang w:val="en-US"/>
        </w:rPr>
      </w:pPr>
      <w:r>
        <w:drawing>
          <wp:inline distT="0" distB="0" distL="0" distR="0">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3"/>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4"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5" w:name="_Toc21728"/>
      <w:bookmarkStart w:id="36" w:name="_Toc509844741"/>
      <w:r>
        <w:rPr>
          <w:rFonts w:hint="eastAsia"/>
        </w:rPr>
        <w:t>网格划分</w:t>
      </w:r>
      <w:bookmarkEnd w:id="35"/>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7" w:name="OLE_LINK276"/>
      <w:bookmarkStart w:id="38" w:name="OLE_LINK277"/>
      <w:r>
        <w:rPr>
          <w:rFonts w:hint="eastAsia"/>
        </w:rPr>
        <w:t>1）普通网格：指除靠近地面和建筑以外的网格，通常不需要特别加密处理</w:t>
      </w:r>
    </w:p>
    <w:p>
      <w:pPr>
        <w:pStyle w:val="12"/>
        <w:numPr>
          <w:ilvl w:val="0"/>
          <w:numId w:val="4"/>
        </w:numPr>
        <w:spacing w:before="156"/>
      </w:pPr>
      <w:bookmarkStart w:id="39"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170788</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bookmarkStart w:id="40" w:name="_GoBack"/>
      <w:bookmarkEnd w:id="40"/>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172495</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bookmarkStart w:id="41" w:name="_GoBack"/>
      <w:bookmarkEnd w:id="41"/>
    </w:p>
    <w:p>
      <w:pPr>
        <w:pStyle w:val="3"/>
        <w:ind w:firstLine="630" w:firstLineChars="300"/>
        <w:rPr>
          <w:rFonts w:ascii="黑体" w:hAnsi="黑体" w:eastAsia="黑体"/>
          <w:szCs w:val="20"/>
        </w:rPr>
      </w:pPr>
      <w:bookmarkStart w:id="42" w:name="网格划分信息"/>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3" w:name="_Toc509844742"/>
      <w:bookmarkStart w:id="44" w:name="_Toc21250"/>
      <w:r>
        <w:rPr>
          <w:rFonts w:hint="eastAsia"/>
        </w:rPr>
        <w:t>边界条件</w:t>
      </w:r>
      <w:bookmarkEnd w:id="43"/>
      <w:bookmarkEnd w:id="44"/>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5" w:name="_Toc509844743"/>
      <w:bookmarkStart w:id="46" w:name="_Toc26569"/>
      <w:r>
        <w:rPr>
          <w:rFonts w:hint="eastAsia"/>
        </w:rPr>
        <w:t>入口与出口边界条件</w:t>
      </w:r>
      <w:bookmarkEnd w:id="45"/>
      <w:bookmarkEnd w:id="46"/>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7" w:name="地面粗糙度指数2"/>
      <w:r>
        <w:rPr>
          <w:rFonts w:hint="eastAsia"/>
          <w:lang w:val="en-US"/>
        </w:rPr>
        <w:t>0.22</w:t>
      </w:r>
      <w:bookmarkEnd w:id="47"/>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8" w:name="_Toc509844744"/>
      <w:bookmarkStart w:id="49" w:name="_Toc19295"/>
      <w:r>
        <w:rPr>
          <w:rFonts w:hint="eastAsia"/>
        </w:rPr>
        <w:t>壁面边界条件</w:t>
      </w:r>
      <w:bookmarkEnd w:id="48"/>
      <w:bookmarkEnd w:id="49"/>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0" w:name="_Toc3218"/>
      <w:r>
        <w:rPr>
          <w:rFonts w:hint="eastAsia"/>
        </w:rPr>
        <w:t>湍流模型</w:t>
      </w:r>
      <w:bookmarkEnd w:id="50"/>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1" w:name="_Toc452108767"/>
      <w:bookmarkStart w:id="52" w:name="_Toc451698939"/>
      <w:bookmarkStart w:id="53" w:name="_Toc20486"/>
      <w:r>
        <w:rPr>
          <w:rFonts w:hint="eastAsia"/>
        </w:rPr>
        <w:t>求解计算</w:t>
      </w:r>
      <w:bookmarkEnd w:id="51"/>
      <w:bookmarkEnd w:id="52"/>
      <w:bookmarkEnd w:id="53"/>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4"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4"/>
      <w:r>
        <w:rPr>
          <w:rFonts w:hint="eastAsia" w:ascii="黑体" w:hAnsi="黑体" w:eastAsia="黑体"/>
          <w:sz w:val="20"/>
          <w:szCs w:val="20"/>
        </w:rPr>
        <w:t xml:space="preserve"> </w:t>
      </w:r>
      <w:bookmarkStart w:id="55" w:name="_Ref225175618"/>
      <w:r>
        <w:rPr>
          <w:rFonts w:hint="eastAsia" w:ascii="黑体" w:hAnsi="黑体" w:eastAsia="黑体"/>
          <w:sz w:val="20"/>
          <w:szCs w:val="20"/>
        </w:rPr>
        <w:t>计算流体力学的控制方程</w:t>
      </w:r>
      <w:bookmarkEnd w:id="55"/>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6" w:name="_Toc509844747"/>
      <w:bookmarkStart w:id="57" w:name="_Toc20401"/>
      <w:r>
        <w:rPr>
          <w:rFonts w:hint="eastAsia"/>
        </w:rPr>
        <w:t>风速放大系数计算</w:t>
      </w:r>
      <w:bookmarkEnd w:id="56"/>
      <w:bookmarkEnd w:id="57"/>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8" w:name="地面粗糙度指数"/>
      <w:r>
        <w:rPr>
          <w:rFonts w:hint="eastAsia"/>
          <w:lang w:val="en-US"/>
        </w:rPr>
        <w:t>0.22</w:t>
      </w:r>
      <w:bookmarkEnd w:id="58"/>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9" w:name="_Toc452108768"/>
      <w:bookmarkStart w:id="60" w:name="_Toc20617"/>
      <w:r>
        <w:rPr>
          <w:rFonts w:hint="eastAsia"/>
        </w:rPr>
        <w:t>结果</w:t>
      </w:r>
      <w:r>
        <w:t>分析</w:t>
      </w:r>
      <w:bookmarkEnd w:id="59"/>
      <w:bookmarkEnd w:id="60"/>
    </w:p>
    <w:p>
      <w:pPr>
        <w:pStyle w:val="4"/>
        <w:rPr>
          <w:szCs w:val="21"/>
        </w:rPr>
      </w:pPr>
      <w:bookmarkStart w:id="61" w:name="_Toc12619"/>
      <w:r>
        <w:rPr>
          <w:rFonts w:hint="eastAsia"/>
          <w:szCs w:val="21"/>
        </w:rPr>
        <w:t>工况</w:t>
      </w:r>
      <w:r>
        <w:rPr>
          <w:szCs w:val="21"/>
        </w:rPr>
        <w:t>表</w:t>
      </w:r>
      <w:bookmarkEnd w:id="61"/>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2"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3.70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WSW</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202.5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1.00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225.0</w:t>
            </w:r>
          </w:p>
        </w:tc>
      </w:tr>
      <w:bookmarkEnd w:id="62"/>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3" w:name="_Toc29600"/>
      <w:r>
        <w:rPr>
          <w:rFonts w:hint="eastAsia"/>
        </w:rPr>
        <w:t>冬季工况</w:t>
      </w:r>
      <w:bookmarkEnd w:id="63"/>
    </w:p>
    <w:p>
      <w:pPr>
        <w:ind w:firstLine="420" w:firstLineChars="200"/>
        <w:jc w:val="both"/>
      </w:pPr>
      <w:r>
        <w:rPr>
          <w:rFonts w:hint="eastAsia"/>
          <w:lang w:val="en-US"/>
        </w:rPr>
        <w:t>本项目冬季工况的入口边界风速为</w:t>
      </w:r>
      <w:r>
        <w:rPr>
          <w:rFonts w:hint="eastAsia" w:ascii="Calibri" w:hAnsi="Calibri"/>
          <w:szCs w:val="21"/>
        </w:rPr>
        <w:t>3.70</w:t>
      </w:r>
      <w:r>
        <w:rPr>
          <w:rFonts w:ascii="Calibri" w:hAnsi="Calibri"/>
          <w:szCs w:val="21"/>
        </w:rPr>
        <w:t>m/s</w:t>
      </w:r>
      <w:r>
        <w:rPr>
          <w:rFonts w:hint="eastAsia" w:ascii="Calibri" w:hAnsi="Calibri"/>
          <w:szCs w:val="21"/>
        </w:rPr>
        <w:t>，风向为</w:t>
      </w:r>
      <w:r>
        <w:rPr>
          <w:szCs w:val="21"/>
        </w:rPr>
        <w:t>WSW</w:t>
      </w:r>
      <w:r>
        <w:rPr>
          <w:rFonts w:hint="eastAsia"/>
          <w:szCs w:val="21"/>
        </w:rPr>
        <w:t>。</w:t>
      </w:r>
    </w:p>
    <w:p>
      <w:pPr>
        <w:pStyle w:val="5"/>
      </w:pPr>
      <w:bookmarkStart w:id="64" w:name="_Toc25665"/>
      <w:r>
        <w:rPr>
          <w:rFonts w:hint="eastAsia"/>
        </w:rPr>
        <w:t>风速达标分析</w:t>
      </w:r>
      <w:bookmarkEnd w:id="64"/>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5" w:name="_Toc31535"/>
      <w:r>
        <w:rPr>
          <w:rFonts w:hint="eastAsia"/>
        </w:rPr>
        <w:t>风速放大系数达标分析</w:t>
      </w:r>
      <w:bookmarkEnd w:id="65"/>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pPr>
        <w:pStyle w:val="13"/>
        <w:jc w:val="center"/>
        <w:rPr>
          <w:lang w:val="en-US"/>
        </w:rPr>
      </w:pPr>
      <w:r>
        <w:drawing>
          <wp:inline distT="0" distB="0" distL="0" distR="0">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1"/>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6" w:name="_Toc3303"/>
      <w:bookmarkStart w:id="67" w:name="_Toc509844753"/>
      <w:r>
        <w:rPr>
          <w:rFonts w:hint="eastAsia" w:cs="宋体"/>
          <w:lang w:val="en-GB"/>
        </w:rPr>
        <w:t>人行区域</w:t>
      </w:r>
      <w:r>
        <w:rPr>
          <w:rFonts w:hint="eastAsia"/>
        </w:rPr>
        <w:t>冬季工况风速/风速放大系数达标判定</w:t>
      </w:r>
      <w:bookmarkEnd w:id="66"/>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r>
              <w:rPr>
                <w:rFonts w:hint="eastAsia" w:ascii="宋体" w:hAnsi="宋体" w:cs="宋体"/>
                <w:szCs w:val="21"/>
              </w:rPr>
              <w:t xml:space="preserve">或 </w:t>
            </w:r>
            <w:r>
              <w:rPr>
                <w:rFonts w:ascii="宋体" w:hAnsi="宋体" w:cs="宋体"/>
                <w:szCs w:val="21"/>
              </w:rPr>
              <w:t>&lt;2m/s</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6"/>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68" w:name="冬季工况风速达标判断"/>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bl>
    <w:p>
      <w:pPr>
        <w:pStyle w:val="5"/>
      </w:pPr>
      <w:bookmarkStart w:id="69" w:name="_Toc24937"/>
      <w:r>
        <w:rPr>
          <w:rFonts w:hint="eastAsia"/>
        </w:rPr>
        <w:t>建筑迎风面和背风面风压分析</w:t>
      </w:r>
      <w:bookmarkEnd w:id="69"/>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r>
        <w:drawing>
          <wp:inline distT="0" distB="0" distL="0" distR="0">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3"/>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r>
        <w:drawing>
          <wp:inline distT="0" distB="0" distL="0" distR="0">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4"/>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-DT单体(小别墅室外风场)</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-0.58</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-1.03</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0.45</w:t>
            </w:r>
          </w:p>
        </w:tc>
      </w:tr>
    </w:tbl>
    <w:p>
      <w:r>
        <w:t>标准要求：迎背风面窗平均风压差（绝对值）≤5Pa。结论：该楼</w:t>
      </w:r>
      <w:r>
        <w:rPr>
          <w:b/>
          <w:color w:val="0000FF"/>
        </w:rPr>
        <w:t>达标</w:t>
      </w:r>
      <w:r>
        <w:t>。</w:t>
      </w:r>
    </w:p>
    <w:p>
      <w:pPr>
        <w:jc w:val="center"/>
        <w:rPr>
          <w:rFonts w:ascii="Cambria" w:hAnsi="Cambria" w:eastAsia="黑体"/>
          <w:sz w:val="20"/>
        </w:rPr>
      </w:pPr>
    </w:p>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DT单体(小别墅室外风场)</w:t>
            </w:r>
          </w:p>
        </w:tc>
        <w:tc>
          <w:tcPr>
            <w:tcW w:w="1276" w:type="dxa"/>
            <w:shd w:val="clear" w:color="auto" w:fill="auto"/>
            <w:vAlign w:val="center"/>
          </w:tcPr>
          <w:p>
            <w:pPr>
              <w:jc w:val="center"/>
              <w:rPr>
                <w:lang w:val="en-US"/>
              </w:rPr>
            </w:pPr>
            <w:r>
              <w:rPr>
                <w:lang w:val="en-US"/>
              </w:rPr>
              <w:t>-0.58</w:t>
            </w:r>
          </w:p>
        </w:tc>
        <w:tc>
          <w:tcPr>
            <w:tcW w:w="1276" w:type="dxa"/>
            <w:shd w:val="clear" w:color="auto" w:fill="auto"/>
            <w:vAlign w:val="center"/>
          </w:tcPr>
          <w:p>
            <w:pPr>
              <w:jc w:val="center"/>
              <w:rPr>
                <w:lang w:val="en-US"/>
              </w:rPr>
            </w:pPr>
            <w:r>
              <w:rPr>
                <w:lang w:val="en-US"/>
              </w:rPr>
              <w:t>-1.03</w:t>
            </w:r>
          </w:p>
        </w:tc>
        <w:tc>
          <w:tcPr>
            <w:tcW w:w="1701" w:type="dxa"/>
            <w:shd w:val="clear" w:color="auto" w:fill="auto"/>
            <w:vAlign w:val="center"/>
          </w:tcPr>
          <w:p>
            <w:pPr>
              <w:jc w:val="center"/>
              <w:rPr>
                <w:lang w:val="en-US"/>
              </w:rPr>
            </w:pPr>
            <w:r>
              <w:rPr>
                <w:lang w:val="en-US"/>
              </w:rPr>
              <w:t>0.45</w:t>
            </w:r>
          </w:p>
        </w:tc>
        <w:tc>
          <w:tcPr>
            <w:tcW w:w="973" w:type="dxa"/>
            <w:shd w:val="clear" w:color="auto" w:fill="auto"/>
            <w:vAlign w:val="center"/>
          </w:tcPr>
          <w:p>
            <w:pPr>
              <w:jc w:val="center"/>
              <w:rPr>
                <w:lang w:val="en-US"/>
              </w:rPr>
            </w:pPr>
            <w:r>
              <w:rPr>
                <w:lang w:val="en-US"/>
              </w:rPr>
              <w:t>是</w:t>
            </w:r>
          </w:p>
        </w:tc>
      </w:tr>
      <w:bookmarkEnd w:id="39"/>
    </w:tbl>
    <w:p>
      <w:pPr>
        <w:rPr>
          <w:lang w:val="en-US"/>
        </w:rPr>
      </w:pPr>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70" w:name="冬季工况"/>
      <w:bookmarkEnd w:id="70"/>
      <w:r>
        <w:rPr>
          <w:rFonts w:hint="eastAsia"/>
          <w:lang w:val="en-US"/>
        </w:rPr>
        <w:t xml:space="preserve"> </w:t>
      </w:r>
    </w:p>
    <w:p>
      <w:pPr>
        <w:pStyle w:val="4"/>
      </w:pPr>
      <w:bookmarkStart w:id="71" w:name="_Toc24400"/>
      <w:r>
        <w:rPr>
          <w:rFonts w:hint="eastAsia"/>
        </w:rPr>
        <w:t>夏季工况</w:t>
      </w:r>
      <w:bookmarkEnd w:id="71"/>
    </w:p>
    <w:p>
      <w:pPr>
        <w:pStyle w:val="3"/>
        <w:ind w:firstLine="420"/>
      </w:pPr>
      <w:r>
        <w:rPr>
          <w:rFonts w:hint="eastAsia"/>
          <w:lang w:val="en-US"/>
        </w:rPr>
        <w:t>本项目夏季工况的入口边界风速为1.00m/s，风向为</w:t>
      </w:r>
      <w:r>
        <w:t>SW</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72" w:name="_Toc27137"/>
      <w:r>
        <w:rPr>
          <w:rFonts w:hint="eastAsia"/>
        </w:rPr>
        <w:t>无风区计算分析</w:t>
      </w:r>
      <w:bookmarkEnd w:id="72"/>
    </w:p>
    <w:p>
      <w:pPr>
        <w:pStyle w:val="3"/>
        <w:tabs>
          <w:tab w:val="left" w:pos="426"/>
        </w:tabs>
        <w:ind w:firstLine="420"/>
      </w:pPr>
      <w:r>
        <w:rPr>
          <w:rFonts w:hint="eastAsia"/>
        </w:rPr>
        <w:t>下图为整个计算域内风速分布云图，参考图中速度分布可以对项目中建筑布局进行优化。分析下图，</w:t>
      </w:r>
      <w:r>
        <w:t>黑色等值线</w:t>
      </w:r>
      <w:r>
        <w:rPr>
          <w:color w:val="FF0000"/>
        </w:rPr>
        <w:t>标示出了</w:t>
      </w:r>
      <w:r>
        <w:t>人行区内风速小于0.2m/s的超限区域，因此</w:t>
      </w:r>
      <w:r>
        <w:rPr>
          <w:color w:val="FF0000"/>
        </w:rPr>
        <w:t>未满足</w:t>
      </w:r>
      <w:r>
        <w:t>绿标要求，需调整建筑布局优化区域内风速分布。</w:t>
      </w:r>
    </w:p>
    <w:p>
      <w:pPr>
        <w:pStyle w:val="3"/>
        <w:spacing w:after="156" w:afterLines="50"/>
        <w:ind w:firstLine="0" w:firstLineChars="0"/>
        <w:jc w:val="center"/>
      </w:pPr>
      <w:r>
        <w:drawing>
          <wp:inline distT="0" distB="0" distL="0" distR="0">
            <wp:extent cx="5667375" cy="3486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5"/>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计算域内-1.5米高度水平面风速云图-夏季</w:t>
      </w:r>
      <w:bookmarkEnd w:id="67"/>
    </w:p>
    <w:p>
      <w:pPr>
        <w:pStyle w:val="5"/>
      </w:pPr>
      <w:bookmarkStart w:id="73" w:name="_Toc6315"/>
      <w:r>
        <w:rPr>
          <w:rFonts w:hint="eastAsia"/>
        </w:rPr>
        <w:t>旋涡区分析</w:t>
      </w:r>
      <w:bookmarkEnd w:id="14"/>
      <w:bookmarkEnd w:id="73"/>
    </w:p>
    <w:bookmarkEnd w:id="68"/>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bookmarkEnd w:id="17"/>
    <w:p>
      <w:pPr>
        <w:pStyle w:val="3"/>
        <w:ind w:firstLine="0" w:firstLineChars="0"/>
        <w:jc w:val="center"/>
        <w:rPr>
          <w:lang w:val="en-US"/>
        </w:rPr>
      </w:pPr>
      <w:r>
        <w:drawing>
          <wp:inline distT="0" distB="0" distL="0" distR="0">
            <wp:extent cx="5667375" cy="3667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6"/>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74" w:name="_Toc19621"/>
      <w:r>
        <w:rPr>
          <w:rFonts w:hint="eastAsia"/>
        </w:rPr>
        <w:t>人行区域旋涡区/无风区达标判定</w:t>
      </w:r>
      <w:bookmarkEnd w:id="19"/>
      <w:bookmarkEnd w:id="7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w:t>
      </w:r>
      <w:bookmarkEnd w:id="20"/>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是</w:t>
            </w:r>
            <w:bookmarkEnd w:id="22"/>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否</w:t>
            </w:r>
            <w:bookmarkEnd w:id="23"/>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75" w:name="_Toc11327"/>
      <w:r>
        <w:rPr>
          <w:rFonts w:hint="eastAsia"/>
        </w:rPr>
        <w:t>外窗内外表面风压</w:t>
      </w:r>
      <w:bookmarkEnd w:id="24"/>
      <w:r>
        <w:rPr>
          <w:rFonts w:hint="eastAsia"/>
        </w:rPr>
        <w:t>差达标分析</w:t>
      </w:r>
      <w:bookmarkEnd w:id="25"/>
      <w:bookmarkEnd w:id="75"/>
    </w:p>
    <w:p>
      <w:pPr>
        <w:pStyle w:val="3"/>
        <w:ind w:firstLine="420"/>
      </w:pPr>
      <w:r>
        <w:rPr>
          <w:rFonts w:hint="eastAsia"/>
          <w:lang w:val="en-US"/>
        </w:rPr>
        <w:t>分析《绿色建筑评价标准》，夏季</w:t>
      </w:r>
      <w:bookmarkEnd w:id="28"/>
      <w:r>
        <w:rPr>
          <w:rFonts w:hint="eastAsia"/>
          <w:lang w:val="en-US"/>
        </w:rPr>
        <w:t>为充分利用自然通风获得良好的室内风环境，要求50%以上可开启外窗室内外表面的风压差大于0.5Pa</w:t>
      </w:r>
      <w:bookmarkEnd w:id="29"/>
      <w:r>
        <w:rPr>
          <w:rFonts w:hint="eastAsia"/>
          <w:lang w:val="en-US"/>
        </w:rPr>
        <w:t>。</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30"/>
    <w:p>
      <w:pPr>
        <w:pStyle w:val="3"/>
        <w:ind w:firstLine="0" w:firstLineChars="0"/>
        <w:jc w:val="center"/>
      </w:pPr>
      <w:r>
        <w:drawing>
          <wp:inline distT="0" distB="0" distL="0" distR="0">
            <wp:extent cx="5667375" cy="3619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7"/>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bookmarkEnd w:id="34"/>
    </w:p>
    <w:bookmarkEnd w:id="36"/>
    <w:p>
      <w:pPr>
        <w:pStyle w:val="13"/>
        <w:jc w:val="center"/>
      </w:pPr>
      <w:r>
        <w:drawing>
          <wp:inline distT="0" distB="0" distL="0" distR="0">
            <wp:extent cx="5667375" cy="3638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8"/>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bookmarkEnd w:id="37"/>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DT单体(小别墅室外风场)</w:t>
            </w:r>
          </w:p>
        </w:tc>
        <w:tc>
          <w:tcPr>
            <w:tcW w:w="1134" w:type="dxa"/>
            <w:shd w:val="clear" w:color="auto" w:fill="auto"/>
            <w:vAlign w:val="center"/>
          </w:tcPr>
          <w:p>
            <w:pPr>
              <w:jc w:val="center"/>
              <w:rPr>
                <w:lang w:val="en-US"/>
              </w:rPr>
            </w:pPr>
            <w:r>
              <w:rPr>
                <w:lang w:val="en-US"/>
              </w:rPr>
              <w:t>243</w:t>
            </w:r>
          </w:p>
        </w:tc>
        <w:tc>
          <w:tcPr>
            <w:tcW w:w="1984" w:type="dxa"/>
            <w:shd w:val="clear" w:color="auto" w:fill="auto"/>
            <w:vAlign w:val="center"/>
          </w:tcPr>
          <w:p>
            <w:pPr>
              <w:jc w:val="center"/>
              <w:rPr>
                <w:lang w:val="en-US"/>
              </w:rPr>
            </w:pPr>
            <w:r>
              <w:rPr>
                <w:lang w:val="en-US"/>
              </w:rPr>
              <w:t>0</w:t>
            </w:r>
          </w:p>
        </w:tc>
        <w:tc>
          <w:tcPr>
            <w:tcW w:w="1116" w:type="dxa"/>
            <w:shd w:val="clear" w:color="auto" w:fill="auto"/>
            <w:vAlign w:val="center"/>
          </w:tcPr>
          <w:p>
            <w:pPr>
              <w:jc w:val="center"/>
              <w:rPr>
                <w:lang w:val="en-US"/>
              </w:rPr>
            </w:pPr>
            <w:r>
              <w:rPr>
                <w:lang w:val="en-US"/>
              </w:rPr>
              <w:t>0.00</w:t>
            </w:r>
          </w:p>
        </w:tc>
        <w:tc>
          <w:tcPr>
            <w:tcW w:w="708" w:type="dxa"/>
            <w:shd w:val="clear" w:color="auto" w:fill="auto"/>
            <w:vAlign w:val="center"/>
          </w:tcPr>
          <w:p>
            <w:pPr>
              <w:jc w:val="center"/>
              <w:rPr>
                <w:lang w:val="en-US"/>
              </w:rPr>
            </w:pPr>
            <w:r>
              <w:rPr>
                <w:lang w:val="en-US"/>
              </w:rPr>
              <w:t>否</w:t>
            </w:r>
          </w:p>
        </w:tc>
      </w:tr>
    </w:tbl>
    <w:p>
      <w:r>
        <w:rPr>
          <w:rFonts w:hint="eastAsia"/>
          <w:lang w:val="en-US"/>
        </w:rPr>
        <w:t>说明：达标比例＝（室内外风压差大于0.5Pa的总数/可开启外窗总数）*100％</w:t>
      </w:r>
    </w:p>
    <w:bookmarkEnd w:id="38"/>
    <w:p>
      <w:pPr>
        <w:rPr>
          <w:lang w:val="en-US"/>
        </w:rPr>
      </w:pPr>
    </w:p>
    <w:p/>
    <w:p>
      <w:pPr>
        <w:rPr>
          <w:lang w:val="en-US"/>
        </w:rPr>
      </w:pPr>
      <w:r>
        <w:rPr>
          <w:rFonts w:hint="eastAsia"/>
          <w:lang w:val="en-US"/>
        </w:rPr>
        <w:t>结论：本项目中所有建筑均未满足“50%以上可开启外窗室内外表面的风压差大于0.5Pa”的要求，该条不得分。</w:t>
      </w:r>
      <w:bookmarkEnd w:id="42"/>
      <w:r>
        <w:rPr>
          <w:rFonts w:hint="eastAsia"/>
          <w:lang w:val="en-US"/>
        </w:rPr>
        <w:t xml:space="preserve"> </w:t>
      </w:r>
    </w:p>
    <w:p>
      <w:pPr>
        <w:rPr>
          <w:lang w:val="en-US"/>
        </w:rPr>
      </w:pPr>
      <w:bookmarkStart w:id="76" w:name="其他工况"/>
      <w:bookmarkEnd w:id="76"/>
      <w:r>
        <w:rPr>
          <w:rFonts w:hint="eastAsia"/>
          <w:lang w:val="en-US"/>
        </w:rPr>
        <w:t xml:space="preserve"> </w:t>
      </w:r>
    </w:p>
    <w:p>
      <w:pPr>
        <w:pStyle w:val="4"/>
      </w:pPr>
      <w:bookmarkStart w:id="77" w:name="_Toc509844764"/>
      <w:bookmarkStart w:id="78" w:name="_Toc10379"/>
      <w:r>
        <w:rPr>
          <w:rFonts w:hint="eastAsia"/>
        </w:rPr>
        <w:t>结论</w:t>
      </w:r>
      <w:bookmarkEnd w:id="77"/>
      <w:bookmarkEnd w:id="78"/>
    </w:p>
    <w:p>
      <w:pPr>
        <w:pStyle w:val="5"/>
      </w:pPr>
      <w:bookmarkStart w:id="79" w:name="_Toc31052"/>
      <w:r>
        <w:rPr>
          <w:rFonts w:hint="eastAsia"/>
        </w:rPr>
        <w:t>冬季工况达标判断</w:t>
      </w:r>
      <w:bookmarkEnd w:id="7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r>
              <w:rPr>
                <w:rFonts w:hint="eastAsia"/>
                <w:lang w:val="en-US"/>
              </w:rPr>
              <w:t>风速大于</w:t>
            </w:r>
            <w:r>
              <w:rPr>
                <w:lang w:val="en-US"/>
              </w:rPr>
              <w:t>5m/s</w:t>
            </w:r>
            <w:r>
              <w:rPr>
                <w:rFonts w:hint="eastAsia"/>
                <w:lang w:val="en-US"/>
              </w:rPr>
              <w:t>的区域，户外休息区、儿童娱乐区</w:t>
            </w:r>
            <w:r>
              <w:t>没有出现</w:t>
            </w:r>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除迎风第一排建筑外，建筑迎风面与背风面表面风压差不超过5Pa，得2分</w:t>
            </w:r>
          </w:p>
        </w:tc>
        <w:tc>
          <w:tcPr>
            <w:tcW w:w="1985" w:type="dxa"/>
            <w:shd w:val="clear" w:color="auto" w:fill="auto"/>
            <w:vAlign w:val="center"/>
          </w:tcPr>
          <w:p>
            <w:pPr>
              <w:jc w:val="center"/>
              <w:rPr>
                <w:lang w:val="en-US"/>
              </w:rPr>
            </w:pPr>
            <w:r>
              <w:rPr>
                <w:rFonts w:hint="eastAsia"/>
                <w:lang w:val="en-US"/>
              </w:rPr>
              <w:t>本项目</w:t>
            </w:r>
            <w:r>
              <w:t>没有出现</w:t>
            </w:r>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lang w:val="en-US"/>
              </w:rPr>
              <w:t>达标</w:t>
            </w:r>
          </w:p>
        </w:tc>
        <w:tc>
          <w:tcPr>
            <w:tcW w:w="1416" w:type="dxa"/>
            <w:shd w:val="clear" w:color="auto" w:fill="auto"/>
            <w:vAlign w:val="center"/>
          </w:tcPr>
          <w:p>
            <w:pPr>
              <w:jc w:val="center"/>
              <w:rPr>
                <w:lang w:val="en-US"/>
              </w:rPr>
            </w:pPr>
            <w:r>
              <w:rPr>
                <w:rFonts w:hint="eastAsia"/>
                <w:lang w:val="en-US"/>
              </w:rPr>
              <w:t>2</w:t>
            </w:r>
            <w:bookmarkEnd w:id="10"/>
            <w:r>
              <w:rPr>
                <w:rFonts w:hint="eastAsia"/>
                <w:lang w:val="en-US"/>
              </w:rPr>
              <w:t>分</w:t>
            </w:r>
          </w:p>
        </w:tc>
      </w:tr>
      <w:bookmarkEnd w:id="11"/>
      <w:bookmarkEnd w:id="13"/>
    </w:tbl>
    <w:p>
      <w:pPr>
        <w:rPr>
          <w:szCs w:val="21"/>
          <w:lang w:val="en-US"/>
        </w:rPr>
      </w:pPr>
    </w:p>
    <w:bookmarkEnd w:id="0"/>
    <w:bookmarkEnd w:id="1"/>
    <w:p>
      <w:pPr>
        <w:pStyle w:val="5"/>
      </w:pPr>
      <w:bookmarkStart w:id="80" w:name="_Toc22779"/>
      <w:r>
        <w:rPr>
          <w:rFonts w:hint="eastAsia"/>
        </w:rPr>
        <w:t>过渡季、夏季工况达标判断</w:t>
      </w:r>
      <w:bookmarkEnd w:id="2"/>
      <w:bookmarkEnd w:id="8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人行区有</w:t>
            </w:r>
            <w:bookmarkEnd w:id="3"/>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r>
              <w:rPr>
                <w:rFonts w:hint="eastAsia"/>
                <w:b/>
                <w:color w:val="FF0000"/>
                <w:lang w:val="en-US"/>
              </w:rPr>
              <w:t>不达标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0</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，得2分。</w:t>
            </w:r>
          </w:p>
        </w:tc>
        <w:tc>
          <w:tcPr>
            <w:tcW w:w="1985" w:type="dxa"/>
            <w:shd w:val="clear" w:color="auto" w:fill="auto"/>
            <w:vAlign w:val="center"/>
          </w:tcPr>
          <w:p>
            <w:pPr>
              <w:jc w:val="center"/>
              <w:rPr>
                <w:lang w:val="en-US"/>
              </w:rPr>
            </w:pPr>
            <w:r>
              <w:rPr>
                <w:rFonts w:hint="eastAsia"/>
                <w:b/>
                <w:lang w:val="en-US"/>
              </w:rPr>
              <w:t>可开启外窗室内外表面的风压差</w:t>
            </w:r>
            <w:r>
              <w:rPr>
                <w:rFonts w:hint="eastAsia"/>
                <w:lang w:val="en-US"/>
              </w:rPr>
              <w:t>不满足</w:t>
            </w:r>
            <w:bookmarkEnd w:id="6"/>
            <w:r>
              <w:rPr>
                <w:rFonts w:hint="eastAsia"/>
                <w:lang w:val="en-US"/>
              </w:rPr>
              <w:t>标准要求</w:t>
            </w:r>
          </w:p>
        </w:tc>
        <w:tc>
          <w:tcPr>
            <w:tcW w:w="1985" w:type="dxa"/>
            <w:shd w:val="clear" w:color="auto" w:fill="auto"/>
            <w:vAlign w:val="center"/>
          </w:tcPr>
          <w:p>
            <w:pPr>
              <w:jc w:val="center"/>
              <w:rPr>
                <w:b/>
                <w:lang w:val="en-US"/>
              </w:rPr>
            </w:pPr>
            <w:r>
              <w:rPr>
                <w:rFonts w:hint="eastAsia"/>
                <w:b/>
                <w:color w:val="FF0000"/>
                <w:lang w:val="en-US"/>
              </w:rPr>
              <w:t>不达标</w:t>
            </w:r>
            <w:bookmarkEnd w:id="7"/>
          </w:p>
        </w:tc>
        <w:tc>
          <w:tcPr>
            <w:tcW w:w="1416" w:type="dxa"/>
            <w:shd w:val="clear" w:color="auto" w:fill="auto"/>
            <w:vAlign w:val="center"/>
          </w:tcPr>
          <w:p>
            <w:pPr>
              <w:jc w:val="center"/>
              <w:rPr>
                <w:lang w:val="en-US"/>
              </w:rPr>
            </w:pPr>
            <w:r>
              <w:rPr>
                <w:rFonts w:hint="eastAsia"/>
                <w:lang w:val="en-US"/>
              </w:rPr>
              <w:t>0</w:t>
            </w:r>
            <w:bookmarkEnd w:id="32"/>
            <w:r>
              <w:rPr>
                <w:rFonts w:hint="eastAsia"/>
                <w:lang w:val="en-US"/>
              </w:rPr>
              <w:t>分</w:t>
            </w:r>
          </w:p>
        </w:tc>
      </w:tr>
      <w:bookmarkEnd w:id="8"/>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81" w:name="总得分"/>
      <w:r>
        <w:rPr>
          <w:rFonts w:hint="eastAsia"/>
          <w:lang w:val="en-US"/>
        </w:rPr>
        <w:t>5</w:t>
      </w:r>
      <w:bookmarkEnd w:id="81"/>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94173"/>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7709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2" Type="http://schemas.openxmlformats.org/officeDocument/2006/relationships/fontTable" Target="fontTable.xml"/><Relationship Id="rId81" Type="http://schemas.openxmlformats.org/officeDocument/2006/relationships/customXml" Target="../customXml/item2.xml"/><Relationship Id="rId80" Type="http://schemas.openxmlformats.org/officeDocument/2006/relationships/numbering" Target="numbering.xml"/><Relationship Id="rId8" Type="http://schemas.openxmlformats.org/officeDocument/2006/relationships/theme" Target="theme/theme1.xml"/><Relationship Id="rId79" Type="http://schemas.openxmlformats.org/officeDocument/2006/relationships/customXml" Target="../customXml/item1.xml"/><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tmp3.dotx</Template>
  <Pages>22</Pages>
  <Words>6012</Words>
  <Characters>6804</Characters>
  <Lines>259</Lines>
  <Paragraphs>273</Paragraphs>
  <TotalTime>1</TotalTime>
  <ScaleCrop>false</ScaleCrop>
  <LinksUpToDate>false</LinksUpToDate>
  <CharactersWithSpaces>7026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2022-01-06T03:22:00Z</dcterms:created>
  <dc:creator>WPS_1488619969</dc:creator>
  <cp:lastModifiedBy>WPS_1488619969</cp:lastModifiedBy>
  <dcterms:modified xsi:type="dcterms:W3CDTF">2022-01-06T03:23:41Z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92FF8CD65DD44161B46A2F64CC5420D0</vt:lpwstr>
  </property>
  <property fmtid="{D5CDD505-2E9C-101B-9397-08002B2CF9AE}" pid="3" name="KSOProductBuildVer">
    <vt:lpwstr>2052-11.1.0.11194</vt:lpwstr>
  </property>
</Properties>
</file>