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bookmarkStart w:id="55" w:name="_GoBack"/>
      <w:bookmarkEnd w:id="55"/>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改造后</w:t>
            </w:r>
            <w:r>
              <w:rPr>
                <w:rFonts w:hint="eastAsia"/>
                <w:lang w:val="en-US" w:eastAsia="zh-CN"/>
              </w:rPr>
              <w:t>方案</w:t>
            </w:r>
            <w:r>
              <w:rPr>
                <w:rFonts w:hint="eastAsia"/>
              </w:rPr>
              <w:t>1</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2022年1月5日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T13233965209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5"/>
        </w:rPr>
        <w:t>1</w:t>
      </w:r>
      <w:r>
        <w:rPr>
          <w:b w:val="0"/>
          <w:bCs w:val="0"/>
        </w:rPr>
        <w:tab/>
      </w:r>
      <w:r>
        <w:rPr>
          <w:rStyle w:val="25"/>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5"/>
        </w:rPr>
        <w:t>2</w:t>
      </w:r>
      <w:r>
        <w:rPr>
          <w:b w:val="0"/>
          <w:bCs w:val="0"/>
        </w:rPr>
        <w:tab/>
      </w:r>
      <w:r>
        <w:rPr>
          <w:rStyle w:val="25"/>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5"/>
        </w:rPr>
        <w:t>3</w:t>
      </w:r>
      <w:r>
        <w:rPr>
          <w:b w:val="0"/>
          <w:bCs w:val="0"/>
        </w:rPr>
        <w:tab/>
      </w:r>
      <w:r>
        <w:rPr>
          <w:rStyle w:val="25"/>
          <w:rFonts w:hint="eastAsia"/>
        </w:rPr>
        <w:t>计算方法</w:t>
      </w:r>
      <w:r>
        <w:tab/>
      </w:r>
      <w:r>
        <w:fldChar w:fldCharType="begin"/>
      </w:r>
      <w:r>
        <w:instrText xml:space="preserve"> PAGEREF _Toc441480676 \h </w:instrText>
      </w:r>
      <w:r>
        <w:fldChar w:fldCharType="separate"/>
      </w:r>
      <w:r>
        <w:t>4</w:t>
      </w:r>
      <w:r>
        <w:fldChar w:fldCharType="end"/>
      </w:r>
      <w:r>
        <w:fldChar w:fldCharType="end"/>
      </w:r>
    </w:p>
    <w:p>
      <w:pPr>
        <w:pStyle w:val="20"/>
      </w:pPr>
      <w:r>
        <w:fldChar w:fldCharType="begin"/>
      </w:r>
      <w:r>
        <w:instrText xml:space="preserve"> HYPERLINK \l "_Toc441480677" </w:instrText>
      </w:r>
      <w:r>
        <w:fldChar w:fldCharType="separate"/>
      </w:r>
      <w:r>
        <w:rPr>
          <w:rStyle w:val="25"/>
          <w:lang w:val="en-GB"/>
        </w:rPr>
        <w:t>3.1</w:t>
      </w:r>
      <w:r>
        <w:tab/>
      </w:r>
      <w:r>
        <w:rPr>
          <w:rStyle w:val="25"/>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"_Toc441480678" </w:instrText>
      </w:r>
      <w:r>
        <w:fldChar w:fldCharType="separate"/>
      </w:r>
      <w:r>
        <w:rPr>
          <w:rStyle w:val="25"/>
          <w:lang w:val="en-GB"/>
        </w:rPr>
        <w:t>3.2</w:t>
      </w:r>
      <w:r>
        <w:tab/>
      </w:r>
      <w:r>
        <w:rPr>
          <w:rStyle w:val="25"/>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"_Toc441480679" </w:instrText>
      </w:r>
      <w:r>
        <w:fldChar w:fldCharType="separate"/>
      </w:r>
      <w:r>
        <w:rPr>
          <w:rStyle w:val="25"/>
          <w:lang w:val="en-GB"/>
        </w:rPr>
        <w:t>3.3</w:t>
      </w:r>
      <w:r>
        <w:tab/>
      </w:r>
      <w:r>
        <w:rPr>
          <w:rStyle w:val="25"/>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20"/>
      </w:pPr>
      <w:r>
        <w:fldChar w:fldCharType="begin"/>
      </w:r>
      <w:r>
        <w:instrText xml:space="preserve"> HYPERLINK \l "_Toc441480680" </w:instrText>
      </w:r>
      <w:r>
        <w:fldChar w:fldCharType="separate"/>
      </w:r>
      <w:r>
        <w:rPr>
          <w:rStyle w:val="25"/>
          <w:lang w:val="en-GB"/>
        </w:rPr>
        <w:t>3.4</w:t>
      </w:r>
      <w:r>
        <w:tab/>
      </w:r>
      <w:r>
        <w:rPr>
          <w:rStyle w:val="25"/>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5"/>
          <w:lang w:val="en-GB"/>
        </w:rPr>
        <w:t>3.4.1</w:t>
      </w:r>
      <w:r>
        <w:tab/>
      </w:r>
      <w:r>
        <w:rPr>
          <w:rStyle w:val="25"/>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41480674"/>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12" w:name="工程名称"/>
            <w:r>
              <w:t>改造后1</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762</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4</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15.0</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rFonts w:ascii="黑体" w:hAnsi="黑体" w:eastAsia="黑体"/>
          <w:b/>
          <w:i/>
          <w:lang w:val="en-US"/>
        </w:rPr>
      </w:pPr>
      <w:bookmarkStart w:id="21" w:name="_Toc441480675"/>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r>
        <w:rPr>
          <w:rFonts w:hint="eastAsia"/>
        </w:rPr>
        <w:t>标准</w:t>
      </w:r>
      <w:r>
        <w:t>要求</w:t>
      </w:r>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3" w:name="_Toc441480676"/>
      <w:bookmarkStart w:id="24"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r>
        <w:rPr>
          <w:rFonts w:hint="eastAsia"/>
          <w:kern w:val="2"/>
        </w:rPr>
        <w:t>隔声理论概述</w:t>
      </w:r>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r>
        <w:rPr>
          <w:rFonts w:hint="eastAsia"/>
        </w:rPr>
        <w:t>原理概要</w:t>
      </w:r>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5" w:name="_Toc503800668"/>
      <w:bookmarkStart w:id="26" w:name="_Toc503800603"/>
      <w:bookmarkStart w:id="27" w:name="_Toc503275877"/>
      <w:r>
        <w:rPr>
          <w:rFonts w:hint="eastAsia"/>
        </w:rPr>
        <w:t>质量定律</w:t>
      </w:r>
      <w:bookmarkEnd w:id="25"/>
      <w:bookmarkEnd w:id="26"/>
      <w:bookmarkEnd w:id="27"/>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7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r>
        <w:t>隔声</w:t>
      </w:r>
      <w:r>
        <w:rPr>
          <w:rFonts w:hint="eastAsia"/>
        </w:rPr>
        <w:t>量计算经验</w:t>
      </w:r>
      <w:r>
        <w:t>公式</w:t>
      </w:r>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r>
        <w:rPr>
          <w:rFonts w:hint="eastAsia"/>
        </w:rPr>
        <w:t>单值评价量</w:t>
      </w:r>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r>
        <w:rPr>
          <w:rFonts w:hint="eastAsia"/>
        </w:rPr>
        <w:t>频谱修正量</w:t>
      </w:r>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r>
        <w:rPr>
          <w:rFonts w:hint="eastAsia"/>
        </w:rPr>
        <w:t>构件空气声隔声性能</w:t>
      </w:r>
    </w:p>
    <w:p>
      <w:pPr>
        <w:pStyle w:val="4"/>
      </w:pPr>
      <w:r>
        <w:rPr>
          <w:rFonts w:hint="eastAsia"/>
        </w:rPr>
        <w:t>墙板的空气声隔声量</w:t>
      </w:r>
    </w:p>
    <w:p>
      <w:pPr>
        <w:pStyle w:val="5"/>
      </w:pPr>
      <w:r>
        <w:rPr>
          <w:rFonts w:hint="eastAsia"/>
        </w:rPr>
        <w:t>墙板构造做法</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13"/>
        <w:ind w:firstLine="420" w:firstLineChars="0"/>
        <w:jc w:val="center"/>
        <w:rPr>
          <w:rFonts w:ascii="宋体" w:hAnsi="宋体" w:eastAsia="宋体"/>
          <w:color w:val="000000"/>
          <w:sz w:val="21"/>
          <w:szCs w:val="21"/>
        </w:rPr>
      </w:pPr>
      <w:bookmarkStart w:id="28" w:name="围护结构材料清单"/>
      <w:bookmarkEnd w:id="28"/>
    </w:p>
    <w:p>
      <w:pPr>
        <w:pStyle w:val="5"/>
      </w:pPr>
      <w:r>
        <w:rPr>
          <w:rFonts w:hint="eastAsia"/>
        </w:rPr>
        <w:t>墙板空气声隔声性能</w:t>
      </w:r>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57.0</w:t>
            </w:r>
          </w:p>
        </w:tc>
        <w:tc>
          <w:tcPr>
            <w:vAlign w:val="center"/>
          </w:tcPr>
          <w:p>
            <w:r>
              <w:t>58.1</w:t>
            </w:r>
          </w:p>
        </w:tc>
        <w:tc>
          <w:tcPr>
            <w:vAlign w:val="center"/>
          </w:tcPr>
          <w:p>
            <w:r>
              <w:t>58.9</w:t>
            </w:r>
          </w:p>
        </w:tc>
        <w:tc>
          <w:tcPr>
            <w:vAlign w:val="center"/>
          </w:tcPr>
          <w:p>
            <w:r>
              <w:t>60.2</w:t>
            </w:r>
          </w:p>
        </w:tc>
        <w:tc>
          <w:tcPr>
            <w:vAlign w:val="center"/>
          </w:tcPr>
          <w:p>
            <w: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0.8</w:t>
            </w:r>
          </w:p>
        </w:tc>
        <w:tc>
          <w:tcPr>
            <w:vAlign w:val="center"/>
          </w:tcPr>
          <w:p>
            <w: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r>
        <w:rPr>
          <w:rFonts w:hint="eastAsia"/>
        </w:rPr>
        <w:t>门窗的空气声隔声量</w:t>
      </w:r>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交通干线两侧卧室的窗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交通干线两侧起居室的窗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36" w:name="门窗空气声隔声量"/>
      <w:bookmarkEnd w:id="36"/>
    </w:p>
    <w:p>
      <w:pPr>
        <w:pStyle w:val="2"/>
        <w:ind w:left="669" w:hanging="669"/>
      </w:pPr>
      <w:r>
        <w:rPr>
          <w:rFonts w:hint="eastAsia"/>
        </w:rPr>
        <w:t>楼板撞击声隔声性能</w:t>
      </w:r>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0"/>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起居室的分户楼板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57.0</w:t>
            </w:r>
          </w:p>
        </w:tc>
        <w:tc>
          <w:tcPr>
            <w:vAlign w:val="center"/>
          </w:tcPr>
          <w:p>
            <w:r>
              <w:rPr>
                <w:sz w:val="18"/>
                <w:szCs w:val="18"/>
              </w:rPr>
              <w:t>58.1</w:t>
            </w:r>
          </w:p>
        </w:tc>
        <w:tc>
          <w:tcPr>
            <w:vAlign w:val="center"/>
          </w:tcPr>
          <w:p>
            <w:r>
              <w:rPr>
                <w:sz w:val="18"/>
                <w:szCs w:val="18"/>
              </w:rPr>
              <w:t>58.9</w:t>
            </w:r>
          </w:p>
        </w:tc>
        <w:tc>
          <w:tcPr>
            <w:vAlign w:val="center"/>
          </w:tcPr>
          <w:p>
            <w:r>
              <w:rPr>
                <w:sz w:val="18"/>
                <w:szCs w:val="18"/>
              </w:rPr>
              <w:t>60.2</w:t>
            </w:r>
          </w:p>
        </w:tc>
        <w:tc>
          <w:tcPr>
            <w:vAlign w:val="center"/>
          </w:tcPr>
          <w:p>
            <w:r>
              <w:rPr>
                <w:sz w:val="18"/>
                <w:szCs w:val="18"/>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1.2</w:t>
            </w:r>
          </w:p>
        </w:tc>
        <w:tc>
          <w:tcPr>
            <w:vAlign w:val="center"/>
          </w:tcPr>
          <w:p>
            <w:r>
              <w:rPr>
                <w:sz w:val="18"/>
                <w:szCs w:val="18"/>
              </w:rP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b/>
                <w:sz w:val="18"/>
                <w:szCs w:val="18"/>
              </w:rP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b/>
                <w:sz w:val="18"/>
                <w:szCs w:val="18"/>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200厚方孔板+50厚木丝板垫块+40厚混凝土预制板块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57.0</w:t>
            </w:r>
          </w:p>
        </w:tc>
        <w:tc>
          <w:tcPr>
            <w:vAlign w:val="center"/>
          </w:tcPr>
          <w:p>
            <w:r>
              <w:rPr>
                <w:sz w:val="18"/>
                <w:szCs w:val="18"/>
              </w:rPr>
              <w:t>58.1</w:t>
            </w:r>
          </w:p>
        </w:tc>
        <w:tc>
          <w:tcPr>
            <w:vAlign w:val="center"/>
          </w:tcPr>
          <w:p>
            <w:r>
              <w:rPr>
                <w:sz w:val="18"/>
                <w:szCs w:val="18"/>
              </w:rPr>
              <w:t>58.9</w:t>
            </w:r>
          </w:p>
        </w:tc>
        <w:tc>
          <w:tcPr>
            <w:vAlign w:val="center"/>
          </w:tcPr>
          <w:p>
            <w:r>
              <w:rPr>
                <w:sz w:val="18"/>
                <w:szCs w:val="18"/>
              </w:rPr>
              <w:t>60.2</w:t>
            </w:r>
          </w:p>
        </w:tc>
        <w:tc>
          <w:tcPr>
            <w:vAlign w:val="center"/>
          </w:tcPr>
          <w:p>
            <w:r>
              <w:rPr>
                <w:sz w:val="18"/>
                <w:szCs w:val="18"/>
              </w:rPr>
              <w:t>54.0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0.0</w:t>
            </w:r>
          </w:p>
        </w:tc>
        <w:tc>
          <w:tcPr>
            <w:vAlign w:val="center"/>
          </w:tcPr>
          <w:p>
            <w:r>
              <w:rPr>
                <w:sz w:val="18"/>
                <w:szCs w:val="18"/>
              </w:rPr>
              <w:t>1.2</w:t>
            </w:r>
          </w:p>
        </w:tc>
        <w:tc>
          <w:tcPr>
            <w:vAlign w:val="center"/>
          </w:tcPr>
          <w:p>
            <w:r>
              <w:rPr>
                <w:sz w:val="18"/>
                <w:szCs w:val="18"/>
              </w:rPr>
              <w:t>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b/>
                <w:sz w:val="18"/>
                <w:szCs w:val="18"/>
              </w:rP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b/>
                <w:sz w:val="18"/>
                <w:szCs w:val="18"/>
              </w:rPr>
              <w:t>满足高要求</w:t>
            </w:r>
          </w:p>
        </w:tc>
      </w:tr>
    </w:tbl>
    <w:p>
      <w:pPr>
        <w:rPr>
          <w:lang w:val="en-US"/>
        </w:rPr>
      </w:pPr>
      <w:bookmarkStart w:id="37" w:name="撞击声隔声"/>
      <w:bookmarkEnd w:id="37"/>
    </w:p>
    <w:bookmarkEnd w:id="23"/>
    <w:bookmarkEnd w:id="24"/>
    <w:p>
      <w:pPr>
        <w:pStyle w:val="2"/>
        <w:ind w:left="669" w:hanging="669"/>
        <w:rPr>
          <w:kern w:val="2"/>
        </w:rPr>
      </w:pPr>
      <w:r>
        <w:rPr>
          <w:rFonts w:hint="eastAsia"/>
          <w:kern w:val="2"/>
        </w:rPr>
        <w:t>星级技术要求</w:t>
      </w:r>
    </w:p>
    <w:p>
      <w:pPr>
        <w:pStyle w:val="4"/>
      </w:pPr>
      <w:r>
        <w:rPr>
          <w:rFonts w:hint="eastAsia"/>
        </w:rPr>
        <w:t>外墙-室外与卧室之间</w:t>
      </w:r>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序号</w:t>
            </w:r>
          </w:p>
        </w:tc>
        <w:tc>
          <w:tcPr>
            <w:shd w:val="clear" w:color="auto" w:fill="E6E6E6"/>
            <w:vAlign w:val="center"/>
          </w:tcPr>
          <w:p>
            <w:pPr>
              <w:jc w:val="center"/>
            </w:pPr>
            <w:r>
              <w:rPr>
                <w:b/>
              </w:rPr>
              <w:t>房间</w:t>
            </w:r>
          </w:p>
        </w:tc>
        <w:tc>
          <w:tcPr>
            <w:shd w:val="clear" w:color="auto" w:fill="E6E6E6"/>
            <w:vAlign w:val="center"/>
          </w:tcPr>
          <w:p>
            <w:pPr>
              <w:jc w:val="center"/>
            </w:pPr>
            <w:r>
              <w:rPr>
                <w:b/>
              </w:rPr>
              <w:t>构造</w:t>
            </w:r>
          </w:p>
        </w:tc>
        <w:tc>
          <w:tcPr>
            <w:shd w:val="clear" w:color="auto" w:fill="E6E6E6"/>
            <w:vAlign w:val="center"/>
          </w:tcPr>
          <w:p>
            <w:pPr>
              <w:jc w:val="center"/>
            </w:pPr>
            <w:r>
              <w:rPr>
                <w:b/>
              </w:rPr>
              <w:t>面积</w:t>
            </w:r>
          </w:p>
        </w:tc>
        <w:tc>
          <w:tcPr>
            <w:shd w:val="clear" w:color="auto" w:fill="E6E6E6"/>
            <w:vAlign w:val="center"/>
          </w:tcPr>
          <w:p>
            <w:pPr>
              <w:jc w:val="center"/>
            </w:pPr>
            <w:r>
              <w:rPr>
                <w:b/>
              </w:rPr>
              <w:t>隔声量</w:t>
            </w:r>
          </w:p>
        </w:tc>
        <w:tc>
          <w:tcPr>
            <w:shd w:val="clear" w:color="auto" w:fill="E6E6E6"/>
            <w:vAlign w:val="center"/>
          </w:tcPr>
          <w:p>
            <w:pPr>
              <w:jc w:val="center"/>
            </w:pPr>
            <w:r>
              <w:rPr>
                <w:b/>
              </w:rPr>
              <w:t>组合墙</w:t>
            </w:r>
            <w:r>
              <w:rPr>
                <w:b/>
              </w:rPr>
              <w:br w:type="textWrapping"/>
            </w:r>
            <w:r>
              <w:rPr>
                <w:b/>
              </w:rPr>
              <w:t>隔声量</w:t>
            </w:r>
          </w:p>
        </w:tc>
        <w:tc>
          <w:tcPr>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1</w:t>
            </w:r>
          </w:p>
        </w:tc>
        <w:tc>
          <w:tcPr>
            <w:vMerge w:val="restart"/>
            <w:vAlign w:val="center"/>
          </w:tcPr>
          <w:p>
            <w:pPr>
              <w:jc w:val="center"/>
            </w:pPr>
            <w:r>
              <w:t>1010@1</w:t>
            </w:r>
          </w:p>
        </w:tc>
        <w:tc>
          <w:tcPr>
            <w:vAlign w:val="center"/>
          </w:tcPr>
          <w:p>
            <w:pPr>
              <w:jc w:val="center"/>
            </w:pPr>
            <w:r>
              <w:t>卧室外墙</w:t>
            </w:r>
          </w:p>
        </w:tc>
        <w:tc>
          <w:tcPr>
            <w:vAlign w:val="center"/>
          </w:tcPr>
          <w:p>
            <w:pPr>
              <w:jc w:val="center"/>
            </w:pPr>
            <w:r>
              <w:t>7.2</w:t>
            </w:r>
          </w:p>
        </w:tc>
        <w:tc>
          <w:tcPr>
            <w:vAlign w:val="center"/>
          </w:tcPr>
          <w:p>
            <w:pPr>
              <w:jc w:val="center"/>
            </w:pPr>
            <w:r>
              <w:t>53</w:t>
            </w:r>
          </w:p>
        </w:tc>
        <w:tc>
          <w:tcPr>
            <w:vMerge w:val="restart"/>
            <w:vAlign w:val="center"/>
          </w:tcPr>
          <w:p>
            <w:pPr>
              <w:jc w:val="center"/>
            </w:pPr>
            <w:r>
              <w:t>49</w:t>
            </w:r>
          </w:p>
        </w:tc>
        <w:tc>
          <w:tcPr>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外窗(C1215)</w:t>
            </w:r>
          </w:p>
        </w:tc>
        <w:tc>
          <w:tcPr>
            <w:vAlign w:val="center"/>
          </w:tcPr>
          <w:p>
            <w:pPr>
              <w:jc w:val="center"/>
            </w:pPr>
            <w:r>
              <w:t>1.8</w:t>
            </w:r>
          </w:p>
        </w:tc>
        <w:tc>
          <w:tcPr>
            <w:vAlign w:val="center"/>
          </w:tcPr>
          <w:p>
            <w:pPr>
              <w:jc w:val="center"/>
            </w:pPr>
            <w:r>
              <w:t>43</w:t>
            </w:r>
          </w:p>
        </w:tc>
        <w:tc>
          <w:tcPr>
            <w:vMerge w:val="continue"/>
            <w:vAlign w:val="center"/>
          </w:tcPr>
          <w:p>
            <w:pPr>
              <w:jc w:val="center"/>
            </w:pPr>
          </w:p>
        </w:tc>
        <w:tc>
          <w:tcPr>
            <w:vMerge w:val="continue"/>
            <w:vAlign w:val="center"/>
          </w:tcPr>
          <w:p>
            <w:pPr>
              <w:jc w:val="center"/>
            </w:pPr>
          </w:p>
        </w:tc>
      </w:tr>
    </w:tbl>
    <w:p>
      <w:pPr>
        <w:pStyle w:val="3"/>
        <w:jc w:val="center"/>
        <w:rPr>
          <w:lang w:val="en-US"/>
        </w:rPr>
      </w:pPr>
      <w:bookmarkStart w:id="38" w:name="组合墙星级评价表"/>
      <w:bookmarkEnd w:id="38"/>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r>
        <w:rPr>
          <w:rFonts w:hint="eastAsia"/>
        </w:rPr>
        <w:t>分户墙</w:t>
      </w:r>
      <w:r>
        <w:t>-</w:t>
      </w:r>
      <w:r>
        <w:rPr>
          <w:rFonts w:hint="eastAsia"/>
        </w:rPr>
        <w:t>两侧卧室之间</w:t>
      </w:r>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39" w:name="分户墙星级评价表"/>
      <w:bookmarkEnd w:id="39"/>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r>
        <w:rPr>
          <w:rFonts w:hint="eastAsia"/>
          <w:kern w:val="2"/>
        </w:rPr>
        <w:t>结论</w:t>
      </w:r>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50</w:t>
            </w:r>
          </w:p>
        </w:tc>
        <w:tc>
          <w:tcPr>
            <w:vAlign w:val="center"/>
          </w:tcPr>
          <w:p>
            <w:r>
              <w:t>低限:≥30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50</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57</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交通干线两侧卧室的窗</w:t>
            </w:r>
          </w:p>
        </w:tc>
        <w:tc>
          <w:tcPr>
            <w:vAlign w:val="center"/>
          </w:tcPr>
          <w:p>
            <w:r>
              <w:rPr>
                <w:b/>
              </w:rPr>
              <w:t>43</w:t>
            </w:r>
          </w:p>
        </w:tc>
        <w:tc>
          <w:tcPr>
            <w:vAlign w:val="center"/>
          </w:tcPr>
          <w:p>
            <w:r>
              <w:t>低限:≥30,高要求:≥35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交通干线两侧起居室的窗</w:t>
            </w:r>
          </w:p>
        </w:tc>
        <w:tc>
          <w:tcPr>
            <w:vAlign w:val="center"/>
          </w:tcPr>
          <w:p>
            <w:r>
              <w:rPr>
                <w:b/>
              </w:rPr>
              <w:t>43</w:t>
            </w:r>
          </w:p>
        </w:tc>
        <w:tc>
          <w:tcPr>
            <w:vAlign w:val="center"/>
          </w:tcPr>
          <w:p>
            <w:r>
              <w:t>低限:≥30,高要求:≥35</w:t>
            </w:r>
          </w:p>
        </w:tc>
        <w:tc>
          <w:tcPr>
            <w:vAlign w:val="center"/>
          </w:tcPr>
          <w:p>
            <w:r>
              <w:rPr>
                <w:b/>
              </w:rPr>
              <w:t>满足高要求</w:t>
            </w:r>
          </w:p>
        </w:tc>
      </w:tr>
    </w:tbl>
    <w:p>
      <w:bookmarkStart w:id="40" w:name="构件隔声性能统计"/>
      <w:bookmarkEnd w:id="40"/>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起居室的分户楼板</w:t>
            </w:r>
          </w:p>
        </w:tc>
        <w:tc>
          <w:tcPr>
            <w:vAlign w:val="center"/>
          </w:tcPr>
          <w:p>
            <w:r>
              <w:rPr>
                <w:b/>
              </w:rPr>
              <w:t>57</w:t>
            </w:r>
          </w:p>
        </w:tc>
        <w:tc>
          <w:tcPr>
            <w:vAlign w:val="center"/>
          </w:tcPr>
          <w:p>
            <w:r>
              <w:t>低限:&lt;75,高要求:&lt;65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rPr>
              <w:t>57</w:t>
            </w:r>
          </w:p>
        </w:tc>
        <w:tc>
          <w:tcPr>
            <w:vAlign w:val="center"/>
          </w:tcPr>
          <w:p>
            <w:r>
              <w:t>低限:&lt;75,高要求:&lt;65</w:t>
            </w:r>
          </w:p>
        </w:tc>
        <w:tc>
          <w:tcPr>
            <w:vAlign w:val="center"/>
          </w:tcPr>
          <w:p>
            <w:r>
              <w:rPr>
                <w:b/>
              </w:rPr>
              <w:t>满足高要求</w:t>
            </w:r>
          </w:p>
        </w:tc>
      </w:tr>
    </w:tbl>
    <w:p>
      <w:bookmarkStart w:id="41" w:name="撞击声隔声性能统计"/>
      <w:bookmarkEnd w:id="41"/>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42" w:name="组合墙星级评价隔声量"/>
            <w:r>
              <w:rPr>
                <w:b/>
              </w:rPr>
              <w:t>49</w:t>
            </w:r>
            <w:bookmarkEnd w:id="42"/>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43" w:name="组合墙星级评价结论"/>
            <w:r>
              <w:rPr>
                <w:b/>
              </w:rPr>
              <w:t>三星级</w:t>
            </w:r>
            <w:bookmarkEnd w:id="4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44" w:name="分户墙星级评价隔声量"/>
            <w:r>
              <w:rPr>
                <w:b/>
              </w:rPr>
              <w:t>--</w:t>
            </w:r>
            <w:bookmarkEnd w:id="44"/>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45" w:name="分户墙星级评价结论"/>
            <w:r>
              <w:rPr>
                <w:b/>
              </w:rPr>
              <w:t>--</w:t>
            </w:r>
            <w:bookmarkEnd w:id="45"/>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46" w:name="分户楼板星级评价撞击声压级"/>
            <w:r>
              <w:rPr>
                <w:b/>
              </w:rPr>
              <w:t>57</w:t>
            </w:r>
            <w:bookmarkEnd w:id="46"/>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47" w:name="分户楼板星级评价结论"/>
            <w:r>
              <w:rPr>
                <w:b/>
              </w:rPr>
              <w:t>三星级</w:t>
            </w:r>
            <w:bookmarkEnd w:id="47"/>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48" w:name="空气声控制项结论"/>
            <w:r>
              <w:rPr>
                <w:rFonts w:hint="eastAsia"/>
                <w:b/>
                <w:lang w:val="en-US"/>
              </w:rPr>
              <w:t>满足</w:t>
            </w:r>
            <w:bookmarkEnd w:id="48"/>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49" w:name="空气声评分项结论"/>
            <w:r>
              <w:rPr>
                <w:rFonts w:hint="eastAsia"/>
                <w:b/>
                <w:lang w:val="en-US"/>
              </w:rPr>
              <w:t>满足高要求</w:t>
            </w:r>
            <w:bookmarkEnd w:id="49"/>
          </w:p>
        </w:tc>
        <w:tc>
          <w:tcPr>
            <w:tcW w:w="737" w:type="dxa"/>
            <w:vAlign w:val="center"/>
          </w:tcPr>
          <w:p>
            <w:pPr>
              <w:jc w:val="center"/>
              <w:rPr>
                <w:b/>
                <w:lang w:val="en-US"/>
              </w:rPr>
            </w:pPr>
            <w:bookmarkStart w:id="50" w:name="空气声得分"/>
            <w:r>
              <w:rPr>
                <w:rFonts w:hint="eastAsia"/>
                <w:b/>
                <w:lang w:val="en-US"/>
              </w:rPr>
              <w:t>5</w:t>
            </w:r>
            <w:bookmarkEnd w:id="5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51" w:name="撞击声控制项结论"/>
            <w:r>
              <w:rPr>
                <w:rFonts w:hint="eastAsia"/>
                <w:b/>
                <w:lang w:val="en-US"/>
              </w:rPr>
              <w:t>满足</w:t>
            </w:r>
            <w:bookmarkEnd w:id="51"/>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52" w:name="撞击声评分项结论"/>
            <w:r>
              <w:rPr>
                <w:rFonts w:hint="eastAsia"/>
                <w:b/>
                <w:lang w:val="en-US"/>
              </w:rPr>
              <w:t>满足高要求</w:t>
            </w:r>
            <w:bookmarkEnd w:id="52"/>
          </w:p>
        </w:tc>
        <w:tc>
          <w:tcPr>
            <w:tcW w:w="737" w:type="dxa"/>
            <w:vAlign w:val="center"/>
          </w:tcPr>
          <w:p>
            <w:pPr>
              <w:jc w:val="center"/>
              <w:rPr>
                <w:b/>
                <w:lang w:val="en-US"/>
              </w:rPr>
            </w:pPr>
            <w:bookmarkStart w:id="53" w:name="撞击声得分"/>
            <w:r>
              <w:rPr>
                <w:rFonts w:hint="eastAsia"/>
                <w:b/>
                <w:lang w:val="en-US"/>
              </w:rPr>
              <w:t>5</w:t>
            </w:r>
            <w:bookmarkEnd w:id="5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54" w:name="星级评价总结论"/>
            <w:r>
              <w:rPr>
                <w:rFonts w:hint="eastAsia"/>
                <w:b/>
                <w:lang w:val="en-US"/>
              </w:rPr>
              <w:t>三星级</w:t>
            </w:r>
            <w:bookmarkEnd w:id="54"/>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CE4DD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71CE4DD6"/>
    <w:rsid w:val="75FF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iPriority w:val="0"/>
  </w:style>
  <w:style w:type="character" w:styleId="25">
    <w:name w:val="Hyperlink"/>
    <w:qFormat/>
    <w:uiPriority w:val="0"/>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uiPriority w:val="0"/>
    <w:rPr>
      <w:rFonts w:ascii="微软雅黑" w:hAnsi="微软雅黑" w:eastAsia="微软雅黑" w:cs="微软雅黑"/>
      <w:b/>
      <w:bCs/>
      <w:iCs/>
      <w:color w:val="000000"/>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tmp6.dotx</Template>
  <Pages>14</Pages>
  <Words>6250</Words>
  <Characters>7685</Characters>
  <Lines>47</Lines>
  <Paragraphs>13</Paragraphs>
  <TotalTime>334</TotalTime>
  <ScaleCrop>false</ScaleCrop>
  <LinksUpToDate>false</LinksUpToDate>
  <CharactersWithSpaces>8246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2022-01-05T06:32:00Z</dcterms:created>
  <dc:creator>DELL</dc:creator>
  <cp:lastModifiedBy>DELL</cp:lastModifiedBy>
  <dcterms:modified xsi:type="dcterms:W3CDTF">2022-01-06T04:16:12Z</dcterms:modified>
  <dc:title>建筑构件隔声设计报告书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7BA0FB7442C94D909F3B55FD3DE16301</vt:lpwstr>
  </property>
  <property fmtid="{D5CDD505-2E9C-101B-9397-08002B2CF9AE}" pid="3" name="KSOProductBuildVer">
    <vt:lpwstr>2052-11.1.0.11194</vt:lpwstr>
  </property>
</Properties>
</file>