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2F1F5C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10号街坊改造设计</w:t>
            </w:r>
            <w:bookmarkEnd w:id="0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洛阳</w:t>
            </w:r>
            <w:bookmarkEnd w:id="1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t>河南科技大学</w:t>
            </w:r>
            <w:bookmarkEnd w:id="3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t>河南科技大学</w:t>
            </w:r>
            <w:bookmarkEnd w:id="4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/>
              </w:r>
            </w:smartTag>
            <w:bookmarkEnd w:id="5"/>
          </w:p>
        </w:tc>
      </w:tr>
    </w:tbl>
    <w:p w:rsidR="00495F4C" w:rsidRDefault="00495F4C" w:rsidP="00B41640">
      <w:pPr>
        <w:rPr>
          <w:rFonts w:ascii="宋体" w:hAnsi="宋体"/>
          <w:lang w:val="en-US"/>
        </w:rPr>
      </w:pPr>
    </w:p>
    <w:p w:rsidR="00685427" w:rsidRDefault="00685427" w:rsidP="00685427">
      <w:pPr>
        <w:rPr>
          <w:rFonts w:ascii="宋体" w:hAnsi="宋体"/>
          <w:lang w:val="en-US"/>
        </w:rPr>
        <w:jc w:val="center"/>
      </w:pPr>
      <w:bookmarkStart w:id="6" w:name="二维码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58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43e43ce28e243ee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rPr>
          <w:rFonts w:ascii="宋体" w:hAnsi="宋体"/>
          <w:lang w:val="en-US"/>
        </w:rPr>
      </w:pPr>
    </w:p>
    <w:p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20200505(SP1)</w:t>
            </w:r>
            <w:bookmarkEnd w:id="8"/>
          </w:p>
        </w:tc>
      </w:tr>
      <w:tr w:rsidR="001B7C87" w:rsidRPr="00D40158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T15978790255</w:t>
            </w:r>
            <w:bookmarkEnd w:id="9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:rsidR="00B36FB1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494766" w:history="1">
        <w:r w:rsidR="00B36FB1" w:rsidRPr="006C423F">
          <w:rPr>
            <w:rStyle w:val="a6"/>
          </w:rPr>
          <w:t>1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住区概况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67" w:history="1">
        <w:r w:rsidR="00B36FB1" w:rsidRPr="006C423F">
          <w:rPr>
            <w:rStyle w:val="a6"/>
          </w:rPr>
          <w:t>2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设计依据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_Toc16494767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68" w:history="1">
        <w:r w:rsidR="00B36FB1" w:rsidRPr="006C423F">
          <w:rPr>
            <w:rStyle w:val="a6"/>
          </w:rPr>
          <w:t>3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计算规定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_Toc16494768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69" w:history="1">
        <w:r w:rsidR="00B36FB1" w:rsidRPr="006C423F">
          <w:rPr>
            <w:rStyle w:val="a6"/>
            <w:lang w:val="en-GB"/>
          </w:rPr>
          <w:t>3.1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强制条文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_Toc16494769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0" w:history="1">
        <w:r w:rsidR="00B36FB1" w:rsidRPr="006C423F">
          <w:rPr>
            <w:rStyle w:val="a6"/>
            <w:lang w:val="en-GB"/>
          </w:rPr>
          <w:t>3.2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规定性设计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_Toc16494770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1" w:history="1">
        <w:r w:rsidR="00B36FB1" w:rsidRPr="006C423F">
          <w:rPr>
            <w:rStyle w:val="a6"/>
            <w:lang w:val="en-GB"/>
          </w:rPr>
          <w:t>3.3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评价性设计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_Toc16494771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2" w:history="1">
        <w:r w:rsidR="00B36FB1" w:rsidRPr="006C423F">
          <w:rPr>
            <w:rStyle w:val="a6"/>
          </w:rPr>
          <w:t>4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计算参数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_Toc16494772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3" w:history="1">
        <w:r w:rsidR="00B36FB1" w:rsidRPr="006C423F">
          <w:rPr>
            <w:rStyle w:val="a6"/>
            <w:lang w:val="en-GB"/>
          </w:rPr>
          <w:t>4.1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典型气象日气象参数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_Toc16494773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4" w:history="1">
        <w:r w:rsidR="00B36FB1" w:rsidRPr="006C423F">
          <w:rPr>
            <w:rStyle w:val="a6"/>
            <w:lang w:val="en-GB"/>
          </w:rPr>
          <w:t>4.2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渗透面夏季逐时蒸发量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_Toc16494774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5" w:history="1">
        <w:r w:rsidR="00B36FB1" w:rsidRPr="006C423F">
          <w:rPr>
            <w:rStyle w:val="a6"/>
          </w:rPr>
          <w:t>5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住区指标概览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_Toc16494775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6" w:history="1">
        <w:r w:rsidR="00B36FB1" w:rsidRPr="006C423F">
          <w:rPr>
            <w:rStyle w:val="a6"/>
          </w:rPr>
          <w:t>6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规定性设计指标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7" w:history="1">
        <w:r w:rsidR="00B36FB1" w:rsidRPr="006C423F">
          <w:rPr>
            <w:rStyle w:val="a6"/>
            <w:lang w:val="en-GB"/>
          </w:rPr>
          <w:t>6.1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平均迎风面积比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_Toc16494777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8" w:history="1">
        <w:r w:rsidR="00B36FB1" w:rsidRPr="006C423F">
          <w:rPr>
            <w:rStyle w:val="a6"/>
            <w:lang w:val="en-GB"/>
          </w:rPr>
          <w:t>6.2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活动场地遮阳覆盖率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_Toc16494778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9" w:history="1">
        <w:r w:rsidR="00B36FB1" w:rsidRPr="006C423F">
          <w:rPr>
            <w:rStyle w:val="a6"/>
            <w:lang w:val="en-GB"/>
          </w:rPr>
          <w:t>6.3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底层通风架空率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_Toc16494779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0" w:history="1">
        <w:r w:rsidR="00B36FB1" w:rsidRPr="006C423F">
          <w:rPr>
            <w:rStyle w:val="a6"/>
            <w:lang w:val="en-GB"/>
          </w:rPr>
          <w:t>6.4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绿化遮阳体叶面积指数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_Toc16494780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1" w:history="1">
        <w:r w:rsidR="00B36FB1" w:rsidRPr="006C423F">
          <w:rPr>
            <w:rStyle w:val="a6"/>
            <w:lang w:val="en-GB"/>
          </w:rPr>
          <w:t>6.5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渗透蒸发指标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_Toc16494781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2" w:history="1">
        <w:r w:rsidR="00B36FB1" w:rsidRPr="006C423F">
          <w:rPr>
            <w:rStyle w:val="a6"/>
            <w:lang w:val="en-GB"/>
          </w:rPr>
          <w:t>6.6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屋面绿化率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_Toc16494782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83" w:history="1">
        <w:r w:rsidR="00B36FB1" w:rsidRPr="006C423F">
          <w:rPr>
            <w:rStyle w:val="a6"/>
          </w:rPr>
          <w:t>7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评价性设计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_Toc16494783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 w:val="0"/>
            <w:bCs w:val="0"/>
            <w:webHidden/>
          </w:rPr>
          <w:t>错误</w:t>
        </w:r>
        <w:r w:rsidR="004E563F">
          <w:rPr>
            <w:rFonts w:hint="eastAsia"/>
            <w:b w:val="0"/>
            <w:bCs w:val="0"/>
            <w:webHidden/>
          </w:rPr>
          <w:t>!</w:t>
        </w:r>
        <w:r w:rsidR="004E563F">
          <w:rPr>
            <w:rFonts w:hint="eastAsia"/>
            <w:b w:val="0"/>
            <w:bCs w:val="0"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4" w:history="1">
        <w:r w:rsidR="00B36FB1" w:rsidRPr="006C423F">
          <w:rPr>
            <w:rStyle w:val="a6"/>
            <w:lang w:val="en-GB"/>
          </w:rPr>
          <w:t>7.1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平均热岛强度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_Toc16494784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5" w:history="1">
        <w:r w:rsidR="00B36FB1" w:rsidRPr="006C423F">
          <w:rPr>
            <w:rStyle w:val="a6"/>
            <w:lang w:val="en-GB"/>
          </w:rPr>
          <w:t>7.2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湿球黑球温度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_Toc16494785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86" w:history="1">
        <w:r w:rsidR="00B36FB1" w:rsidRPr="006C423F">
          <w:rPr>
            <w:rStyle w:val="a6"/>
          </w:rPr>
          <w:t>8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结论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7"/>
          <w:footerReference w:type="even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Default="002F1F5C" w:rsidP="005215FB">
      <w:pPr>
        <w:pStyle w:val="1"/>
      </w:pPr>
      <w:bookmarkStart w:id="11" w:name="_Toc16494766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ascii="宋体" w:hAnsi="宋体" w:hint="eastAsia"/>
              </w:rPr>
              <w:t>10号街坊改造设计</w:t>
            </w:r>
            <w:bookmarkEnd w:id="12"/>
          </w:p>
        </w:tc>
      </w:tr>
      <w:tr w:rsidR="00DE224D" w:rsidRPr="00FF2243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洛阳</w:t>
            </w:r>
            <w:bookmarkEnd w:id="13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34.68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112.45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IIA</w:t>
            </w:r>
            <w:bookmarkEnd w:id="16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西南偏南</w:t>
            </w:r>
            <w:bookmarkEnd w:id="17"/>
          </w:p>
        </w:tc>
      </w:tr>
    </w:tbl>
    <w:p w:rsidR="00DE224D" w:rsidRDefault="00DE224D" w:rsidP="00DE224D">
      <w:pPr>
        <w:pStyle w:val="a0"/>
        <w:ind w:firstLine="420"/>
        <w:rPr>
          <w:lang w:val="en-US"/>
        </w:rPr>
      </w:pPr>
    </w:p>
    <w:p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57600"/>
            <wp:effectExtent l="0" t="0" r="0" b="0"/>
            <wp:docPr id="5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c2dd27d43b341f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:rsidR="00DE224D" w:rsidRDefault="00DE224D" w:rsidP="00DE224D">
      <w:pPr>
        <w:pStyle w:val="a0"/>
        <w:ind w:firstLine="420"/>
        <w:rPr>
          <w:lang w:val="en-US"/>
        </w:rPr>
      </w:pPr>
    </w:p>
    <w:p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57600"/>
            <wp:effectExtent l="0" t="0" r="0" b="0"/>
            <wp:docPr id="6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79d9218257b460b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40158" w:rsidRDefault="00D40158" w:rsidP="00D40158">
      <w:pPr>
        <w:pStyle w:val="1"/>
      </w:pPr>
      <w:bookmarkStart w:id="22" w:name="_Toc16494767"/>
      <w:bookmarkStart w:id="23" w:name="TitleFormat"/>
      <w:r>
        <w:rPr>
          <w:rFonts w:hint="eastAsia"/>
        </w:rPr>
        <w:t>设计依据</w:t>
      </w:r>
      <w:bookmarkEnd w:id="22"/>
    </w:p>
    <w:p w:rsidR="000B2FE8" w:rsidRDefault="00EC27FD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3"/>
      <w:bookmarkEnd w:id="24"/>
      <w:r>
        <w:rPr>
          <w:rFonts w:hint="eastAsia"/>
          <w:kern w:val="2"/>
          <w:szCs w:val="24"/>
          <w:lang w:val="en-US"/>
        </w:rPr>
        <w:t>《城市居住区热环境设计标准》</w:t>
      </w:r>
      <w:r w:rsidR="004E563F">
        <w:rPr>
          <w:kern w:val="2"/>
          <w:szCs w:val="24"/>
          <w:lang w:val="en-US"/>
        </w:rPr>
        <w:t>JGJ 286-2013</w:t>
      </w:r>
      <w:bookmarkStart w:id="25" w:name="_GoBack"/>
      <w:bookmarkEnd w:id="25"/>
    </w:p>
    <w:p w:rsidR="001137ED" w:rsidRDefault="001137ED" w:rsidP="001137ED">
      <w:pPr>
        <w:pStyle w:val="1"/>
      </w:pPr>
      <w:bookmarkStart w:id="26" w:name="_Toc16494768"/>
      <w:r w:rsidRPr="009F0094">
        <w:rPr>
          <w:rFonts w:hint="eastAsia"/>
        </w:rPr>
        <w:t>计算规定</w:t>
      </w:r>
      <w:bookmarkEnd w:id="26"/>
    </w:p>
    <w:p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:rsidR="001137ED" w:rsidRDefault="001137ED" w:rsidP="001137ED">
      <w:pPr>
        <w:pStyle w:val="2"/>
      </w:pPr>
      <w:bookmarkStart w:id="27" w:name="_Toc16494769"/>
      <w:r w:rsidRPr="009F0094">
        <w:rPr>
          <w:rFonts w:hint="eastAsia"/>
        </w:rPr>
        <w:t>强制条文</w:t>
      </w:r>
      <w:bookmarkEnd w:id="27"/>
    </w:p>
    <w:p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:rsidTr="00761242">
        <w:tc>
          <w:tcPr>
            <w:tcW w:w="1569" w:type="dxa"/>
            <w:vMerge w:val="restart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:rsidTr="00761242">
        <w:tc>
          <w:tcPr>
            <w:tcW w:w="1569" w:type="dxa"/>
            <w:vMerge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广场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:rsidR="001137ED" w:rsidRPr="00400852" w:rsidRDefault="001137ED" w:rsidP="001137ED">
      <w:pPr>
        <w:pStyle w:val="2"/>
      </w:pPr>
      <w:bookmarkStart w:id="28" w:name="_Toc16494770"/>
      <w:r w:rsidRPr="00400852">
        <w:rPr>
          <w:rFonts w:hint="eastAsia"/>
        </w:rPr>
        <w:t>规定性设计</w:t>
      </w:r>
      <w:bookmarkEnd w:id="28"/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:rsidR="00BB1C06" w:rsidRDefault="005207E3" w:rsidP="002F0C69">
      <w:pPr>
        <w:pStyle w:val="1"/>
      </w:pPr>
      <w:bookmarkStart w:id="29" w:name="_Toc16494772"/>
      <w:r>
        <w:rPr>
          <w:rFonts w:hint="eastAsia"/>
        </w:rPr>
        <w:t>计算参数</w:t>
      </w:r>
      <w:bookmarkEnd w:id="29"/>
    </w:p>
    <w:p w:rsidR="00116794" w:rsidRDefault="00613298" w:rsidP="009C3CAA">
      <w:pPr>
        <w:pStyle w:val="2"/>
      </w:pPr>
      <w:bookmarkStart w:id="30" w:name="_Toc16494773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30"/>
    </w:p>
    <w:tbl>
      <w:tblPr>
        <w:tblStyle w:val="TableGrid"/>
        <w:tblW w:w="9333.3389282226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284.8199462890625"/>
        <w:gridCol w:w="1341.4198303222656"/>
        <w:gridCol w:w="1341.4198303222656"/>
        <w:gridCol w:w="1341.4198303222656"/>
        <w:gridCol w:w="1341.4198303222656"/>
        <w:gridCol w:w="1341.4198303222656"/>
        <w:gridCol w:w="1341.4198303222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时刻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干球温度</w:t>
            </w:r>
            <w:r>
              <w:br/>
            </w:r>
            <w:r>
              <w:t>(℃)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相对湿度(%)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水平总辐射照度</w:t>
            </w:r>
            <w:r>
              <w:br/>
            </w:r>
            <w:r>
              <w:t>(W/㎡)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水平散射辐射照度</w:t>
            </w:r>
            <w:r>
              <w:br/>
            </w:r>
            <w:r>
              <w:t>(W/㎡)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风速(m/s)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主导风向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3.7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西南偏南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105.56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77.78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138.89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508.33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288.89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294.44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480.56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258.33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277.78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194.10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108.56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3.2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1" w:name="气象参数"/>
      <w:bookmarkEnd w:id="31"/>
    </w:p>
    <w:p w:rsidR="009C3CAA" w:rsidRDefault="00613298" w:rsidP="009C3CAA">
      <w:pPr>
        <w:pStyle w:val="2"/>
      </w:pPr>
      <w:bookmarkStart w:id="32" w:name="_Toc16494774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2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时刻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渗透型硬地</w:t>
            </w:r>
            <w:r>
              <w:br/>
            </w:r>
            <w:r>
              <w:t>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绿化屋面</w:t>
            </w:r>
            <w:r>
              <w:br/>
            </w:r>
            <w:r>
              <w:t>(kg/(㎡.h))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6.16</w:t>
            </w: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3" w:name="蒸发量参数"/>
      <w:bookmarkEnd w:id="33"/>
    </w:p>
    <w:p w:rsidR="000B2FE8" w:rsidRDefault="00AA7C65" w:rsidP="000B2FE8">
      <w:pPr>
        <w:pStyle w:val="1"/>
      </w:pPr>
      <w:bookmarkStart w:id="34" w:name="_Toc16494775"/>
      <w:r>
        <w:rPr>
          <w:rFonts w:hint="eastAsia"/>
        </w:rPr>
        <w:lastRenderedPageBreak/>
        <w:t>住区指标概览</w:t>
      </w:r>
      <w:bookmarkEnd w:id="34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4666.669921875"/>
        <w:gridCol w:w="4666.6699218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指标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地块面积(㎡)</w:t>
            </w:r>
          </w:p>
        </w:tc>
        <w:tc>
          <w:tcPr>
            <w:vAlign w:val="center"/>
          </w:tcPr>
          <w:p>
            <w:pPr/>
            <w:r>
              <w:t>30957.83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建筑密度</w:t>
            </w:r>
          </w:p>
        </w:tc>
        <w:tc>
          <w:tcPr>
            <w:vAlign w:val="center"/>
          </w:tcPr>
          <w:p>
            <w:pPr/>
            <w:r>
              <w:t>0.22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室外面积(㎡)</w:t>
            </w:r>
          </w:p>
        </w:tc>
        <w:tc>
          <w:tcPr>
            <w:vAlign w:val="center"/>
          </w:tcPr>
          <w:p>
            <w:pPr/>
            <w:r>
              <w:t>24081.10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广场面积(㎡)</w:t>
            </w:r>
          </w:p>
        </w:tc>
        <w:tc>
          <w:tcPr>
            <w:vAlign w:val="center"/>
          </w:tcPr>
          <w:p>
            <w:pPr/>
            <w:r>
              <w:t>388.66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道路面积(㎡)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绿地面积(㎡)</w:t>
            </w:r>
          </w:p>
        </w:tc>
        <w:tc>
          <w:tcPr>
            <w:vAlign w:val="center"/>
          </w:tcPr>
          <w:p>
            <w:pPr/>
            <w:r>
              <w:t>9702.68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水面面积(㎡)</w:t>
            </w:r>
          </w:p>
        </w:tc>
        <w:tc>
          <w:tcPr>
            <w:vAlign w:val="center"/>
          </w:tcPr>
          <w:p>
            <w:pPr/>
            <w:r>
              <w:t>969.18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绿化屋面面积(㎡)</w:t>
            </w:r>
          </w:p>
        </w:tc>
        <w:tc>
          <w:tcPr>
            <w:vAlign w:val="center"/>
          </w:tcPr>
          <w:p>
            <w:pPr/>
            <w:r>
              <w:t>6869.74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乔木爬藤面积(㎡)</w:t>
            </w:r>
          </w:p>
        </w:tc>
        <w:tc>
          <w:tcPr>
            <w:vAlign w:val="center"/>
          </w:tcPr>
          <w:p>
            <w:pPr/>
            <w:r>
              <w:t>10771.88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亭廊面积(㎡)</w:t>
            </w:r>
          </w:p>
        </w:tc>
        <w:tc>
          <w:tcPr>
            <w:vAlign w:val="center"/>
          </w:tcPr>
          <w:p>
            <w:pPr/>
            <w:r>
              <w:t>9778.69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渗透型硬地面积(㎡)</w:t>
            </w:r>
          </w:p>
        </w:tc>
        <w:tc>
          <w:tcPr>
            <w:vAlign w:val="center"/>
          </w:tcPr>
          <w:p>
            <w:pPr/>
            <w:r>
              <w:t>6151.63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地表平均太阳辐射吸收系数</w:t>
            </w:r>
          </w:p>
        </w:tc>
        <w:tc>
          <w:tcPr>
            <w:vAlign w:val="center"/>
          </w:tcPr>
          <w:p>
            <w:pPr/>
            <w:r>
              <w:t>0.80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地面粗糙系数</w:t>
            </w:r>
          </w:p>
        </w:tc>
        <w:tc>
          <w:tcPr>
            <w:vAlign w:val="center"/>
          </w:tcPr>
          <w:p>
            <w:pPr/>
            <w:r>
              <w:t>0.22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平均迎风面积比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CTTC居住区热时间常数(h)</w:t>
            </w:r>
          </w:p>
        </w:tc>
        <w:tc>
          <w:tcPr>
            <w:vAlign w:val="center"/>
          </w:tcPr>
          <w:p>
            <w:pPr/>
            <w:r>
              <w:t>10.25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绿化遮阳覆盖率(%)</w:t>
            </w:r>
          </w:p>
        </w:tc>
        <w:tc>
          <w:tcPr>
            <w:vAlign w:val="center"/>
          </w:tcPr>
          <w:p>
            <w:pPr/>
            <w:r>
              <w:t>45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构筑物遮阳覆盖率(%)</w:t>
            </w:r>
          </w:p>
        </w:tc>
        <w:tc>
          <w:tcPr>
            <w:vAlign w:val="center"/>
          </w:tcPr>
          <w:p>
            <w:pPr/>
            <w:r>
              <w:t>41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平均天空角系数</w:t>
            </w:r>
          </w:p>
        </w:tc>
        <w:tc>
          <w:tcPr>
            <w:vAlign w:val="center"/>
          </w:tcPr>
          <w:p>
            <w:pPr/>
            <w:r>
              <w:t>0.76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通风架空率(%)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</w:tbl>
    <w:p w:rsidR="00C3317F" w:rsidRPr="00C3317F" w:rsidRDefault="00C3317F" w:rsidP="00C3317F">
      <w:pPr>
        <w:pStyle w:val="a0"/>
        <w:ind w:firstLine="420"/>
        <w:rPr>
          <w:lang w:val="en-US"/>
        </w:rPr>
      </w:pPr>
      <w:bookmarkStart w:id="35" w:name="住区指标概览"/>
      <w:bookmarkEnd w:id="35"/>
    </w:p>
    <w:p w:rsidR="000B2FE8" w:rsidRDefault="00AA7C65" w:rsidP="009D580B">
      <w:pPr>
        <w:pStyle w:val="1"/>
      </w:pPr>
      <w:bookmarkStart w:id="36" w:name="_Toc16494776"/>
      <w:r>
        <w:rPr>
          <w:rFonts w:hint="eastAsia"/>
        </w:rPr>
        <w:t>规定性设计指标</w:t>
      </w:r>
      <w:bookmarkEnd w:id="36"/>
    </w:p>
    <w:p w:rsidR="00EA741A" w:rsidRDefault="00EA741A" w:rsidP="00EA741A">
      <w:pPr>
        <w:pStyle w:val="2"/>
      </w:pPr>
      <w:bookmarkStart w:id="37" w:name="_Toc16494777"/>
      <w:r>
        <w:rPr>
          <w:rFonts w:hint="eastAsia"/>
        </w:rPr>
        <w:t>平均迎风面积比</w:t>
      </w:r>
      <w:bookmarkEnd w:id="37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最大可能</w:t>
            </w:r>
            <w:r>
              <w:br/>
            </w:r>
            <w:r>
              <w:t>迎风面积(㎡)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最大可能</w:t>
            </w:r>
            <w:r>
              <w:br/>
            </w:r>
            <w:r>
              <w:t>迎风方向(°)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迎风面积比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平均迎风面积比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《城市居住区热环境设计标准》4.1.1条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平均迎风面积比≤0.85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满足</w:t>
            </w:r>
          </w:p>
        </w:tc>
      </w:tr>
    </w:tbl>
    <w:p w:rsidR="00B107D2" w:rsidRPr="00B107D2" w:rsidRDefault="00B107D2" w:rsidP="00B107D2">
      <w:pPr>
        <w:pStyle w:val="a0"/>
        <w:ind w:firstLine="420"/>
        <w:rPr>
          <w:lang w:val="en-US"/>
        </w:rPr>
      </w:pPr>
      <w:bookmarkStart w:id="38" w:name="平均迎风面积比"/>
      <w:bookmarkEnd w:id="38"/>
    </w:p>
    <w:p w:rsidR="00EA741A" w:rsidRDefault="00EA741A" w:rsidP="00EA741A">
      <w:pPr>
        <w:pStyle w:val="2"/>
      </w:pPr>
      <w:bookmarkStart w:id="39" w:name="_Toc16494778"/>
      <w:r>
        <w:rPr>
          <w:rFonts w:hint="eastAsia"/>
        </w:rPr>
        <w:t>活动场地遮阳覆盖率</w:t>
      </w:r>
      <w:bookmarkEnd w:id="39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场地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覆盖率限值(%)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</w:t>
            </w:r>
          </w:p>
        </w:tc>
        <w:tc>
          <w:tcPr>
            <w:vAlign w:val="center"/>
          </w:tcPr>
          <w:p>
            <w:pPr/>
            <w:r>
              <w:t>291.0</w:t>
            </w:r>
          </w:p>
        </w:tc>
        <w:tc>
          <w:tcPr>
            <w:vAlign w:val="center"/>
          </w:tcPr>
          <w:p>
            <w:pPr/>
            <w:r>
              <w:t>388.7</w:t>
            </w:r>
          </w:p>
        </w:tc>
        <w:tc>
          <w:tcPr>
            <w:vAlign w:val="center"/>
          </w:tcPr>
          <w:p>
            <w:pPr/>
            <w:r>
              <w:t>75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游憩场</w:t>
            </w:r>
          </w:p>
        </w:tc>
        <w:tc>
          <w:tcPr>
            <w:vAlign w:val="center"/>
          </w:tcPr>
          <w:p>
            <w:pPr/>
            <w:r>
              <w:t>2040.7</w:t>
            </w:r>
          </w:p>
        </w:tc>
        <w:tc>
          <w:tcPr>
            <w:vAlign w:val="center"/>
          </w:tcPr>
          <w:p>
            <w:pPr/>
            <w:r>
              <w:t>5763.0</w:t>
            </w:r>
          </w:p>
        </w:tc>
        <w:tc>
          <w:tcPr>
            <w:vAlign w:val="center"/>
          </w:tcPr>
          <w:p>
            <w:pPr/>
            <w:r>
              <w:t>35</w:t>
            </w:r>
          </w:p>
        </w:tc>
        <w:tc>
          <w:tcPr>
            <w:vAlign w:val="center"/>
          </w:tcPr>
          <w:p>
            <w:pPr/>
            <w:r>
              <w:t>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《城市居住区热环境设计标准》4.2.1条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各类活动场地遮阳覆盖率不得低于标准要求限值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满足</w:t>
            </w:r>
          </w:p>
        </w:tc>
      </w:tr>
    </w:tbl>
    <w:p w:rsidR="002B4464" w:rsidRPr="002B4464" w:rsidRDefault="002B4464" w:rsidP="002B4464">
      <w:pPr>
        <w:pStyle w:val="a0"/>
        <w:ind w:firstLine="420"/>
        <w:rPr>
          <w:lang w:val="en-US"/>
        </w:rPr>
      </w:pPr>
      <w:bookmarkStart w:id="40" w:name="活动场地遮阳覆盖率"/>
      <w:bookmarkEnd w:id="40"/>
    </w:p>
    <w:p w:rsidR="00EA741A" w:rsidRDefault="00EE005A" w:rsidP="00E72EFD">
      <w:pPr>
        <w:pStyle w:val="2"/>
      </w:pPr>
      <w:bookmarkStart w:id="41" w:name="_Toc16494779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底层通风架空率(%)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6876.7</w:t>
            </w:r>
          </w:p>
        </w:tc>
        <w:tc>
          <w:tcPr>
            <w:vAlign w:val="center"/>
          </w:tcPr>
          <w:p>
            <w:pPr/>
            <w:r>
              <w:t>230.1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t>《城市居住区热环境设计标准》4.1.4条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III、IV、V气候区，夏季主导风向迎风面积宽度超过80m时，底层通风架空率不应小于10%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color w:val="FF0000"/>
              </w:rPr>
              <w:t>不满足</w:t>
            </w:r>
          </w:p>
        </w:tc>
      </w:tr>
    </w:tbl>
    <w:p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:rsidR="00E72EFD" w:rsidRDefault="00E72EFD" w:rsidP="00234F4A">
      <w:pPr>
        <w:pStyle w:val="2"/>
      </w:pPr>
      <w:bookmarkStart w:id="43" w:name="_Toc16494780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2.9998779296875"/>
        <w:gridCol w:w="3110.1699829101563"/>
        <w:gridCol w:w="3110.169982910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遮阳体类型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叶面积指数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</w:tr>
      <w:tr>
        <w:tc>
          <w:tcPr>
            <w:vAlign w:val="center"/>
            <w:shd w:val="clear" w:color="auto" w:fill="E6E6E6"/>
            <w:vMerge w:val="restart"/>
          </w:tcPr>
          <w:p>
            <w:pPr/>
            <w:r>
              <w:t>乔木</w:t>
            </w:r>
          </w:p>
        </w:tc>
        <w:tc>
          <w:tcPr>
            <w:vAlign w:val="center"/>
          </w:tcPr>
          <w:p>
            <w:pPr/>
            <w:r>
              <w:t>LAI&gt;3</w:t>
            </w:r>
          </w:p>
        </w:tc>
        <w:tc>
          <w:tcPr>
            <w:vAlign w:val="center"/>
          </w:tcPr>
          <w:p>
            <w:pPr/>
            <w:r>
              <w:t>10320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2.0&lt;LAI&lt;=3.0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1.0&lt;LAI&lt;=2.0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0.5&lt;LAI&lt;=1.0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LAI&lt;=0.5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 w:val="restart"/>
          </w:tcPr>
          <w:p>
            <w:pPr/>
            <w:r>
              <w:t>爬藤棚架</w:t>
            </w:r>
          </w:p>
        </w:tc>
        <w:tc>
          <w:tcPr>
            <w:vAlign w:val="center"/>
          </w:tcPr>
          <w:p>
            <w:pPr/>
            <w:r>
              <w:t>LAI&gt;3</w:t>
            </w:r>
          </w:p>
        </w:tc>
        <w:tc>
          <w:tcPr>
            <w:vAlign w:val="center"/>
          </w:tcPr>
          <w:p>
            <w:pPr/>
            <w:r>
              <w:t>807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2.0&lt;LAI&lt;=3.0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1.0&lt;LAI&lt;=2.0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0.5&lt;LAI&lt;=1.0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LAI&lt;=0.5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2"/>
          </w:tcPr>
          <w:p>
            <w:pPr/>
            <w:r>
              <w:t>《城市居住区热环境设计标准》4.2.3条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2"/>
          </w:tcPr>
          <w:p>
            <w:pPr/>
            <w:r>
              <w:t>绿化遮阳体叶面积指数不应小于3.0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2"/>
          </w:tcPr>
          <w:p>
            <w:pPr/>
            <w:r>
              <w:rPr>
                <w:color w:val="FF0000"/>
              </w:rPr>
              <w:t>不满足</w:t>
            </w:r>
          </w:p>
        </w:tc>
      </w:tr>
    </w:tbl>
    <w:p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:rsidR="00E72EFD" w:rsidRDefault="00E72EFD" w:rsidP="00E72EFD">
      <w:pPr>
        <w:pStyle w:val="2"/>
      </w:pPr>
      <w:bookmarkStart w:id="45" w:name="_Toc16494781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蒸发量m</w:t>
            </w:r>
            <w:r>
              <w:br/>
            </w:r>
            <w:r>
              <w:t>(kg/(㎡·d))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</w:t>
            </w:r>
          </w:p>
        </w:tc>
        <w:tc>
          <w:tcPr>
            <w:vAlign w:val="center"/>
          </w:tcPr>
          <w:p>
            <w:pPr/>
            <w:r>
              <w:t>389</w:t>
            </w:r>
          </w:p>
        </w:tc>
        <w:tc>
          <w:tcPr>
            <w:vAlign w:val="center"/>
          </w:tcPr>
          <w:p>
            <w:pPr/>
            <w:r>
              <w:t>0.063</w:t>
            </w:r>
          </w:p>
        </w:tc>
        <w:tc>
          <w:tcPr>
            <w:vAlign w:val="center"/>
          </w:tcPr>
          <w:p>
            <w:pPr/>
            <w:r>
              <w:t>4.81</w:t>
            </w:r>
          </w:p>
        </w:tc>
        <w:tc>
          <w:tcPr>
            <w:vAlign w:val="center"/>
          </w:tcPr>
          <w:p>
            <w:pPr/>
            <w:r>
              <w:t>1.69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游憩场</w:t>
            </w:r>
          </w:p>
        </w:tc>
        <w:tc>
          <w:tcPr>
            <w:vAlign w:val="center"/>
          </w:tcPr>
          <w:p>
            <w:pPr/>
            <w:r>
              <w:t>5763</w:t>
            </w:r>
          </w:p>
        </w:tc>
        <w:tc>
          <w:tcPr>
            <w:vAlign w:val="center"/>
          </w:tcPr>
          <w:p>
            <w:pPr/>
            <w:r>
              <w:t>0.937</w:t>
            </w:r>
          </w:p>
        </w:tc>
        <w:tc>
          <w:tcPr>
            <w:vAlign w:val="center"/>
          </w:tcPr>
          <w:p>
            <w:pPr/>
            <w:r>
              <w:t>4.49</w:t>
            </w:r>
          </w:p>
        </w:tc>
        <w:tc>
          <w:tcPr>
            <w:vAlign w:val="center"/>
          </w:tcPr>
          <w:p>
            <w:pPr/>
            <w:r>
              <w:t>1.69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6152</w:t>
            </w:r>
          </w:p>
        </w:tc>
        <w:tc>
          <w:tcPr>
            <w:vAlign w:val="center"/>
          </w:tcPr>
          <w:p>
            <w:pPr/>
            <w:r>
              <w:t>1.0</w:t>
            </w:r>
          </w:p>
        </w:tc>
        <w:tc>
          <w:tcPr>
            <w:vAlign w:val="center"/>
          </w:tcPr>
          <w:p>
            <w:pPr/>
            <w:r>
              <w:t>4.51</w:t>
            </w:r>
          </w:p>
        </w:tc>
        <w:tc>
          <w:tcPr>
            <w:vAlign w:val="center"/>
          </w:tcPr>
          <w:p>
            <w:pPr/>
            <w:r>
              <w:t>1.69</w:t>
            </w:r>
          </w:p>
        </w:tc>
      </w:tr>
    </w:tbl>
    <w:p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2.9998779296875"/>
        <w:gridCol w:w="3110.1699829101563"/>
        <w:gridCol w:w="3110.169982910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40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游憩场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  <w:shd w:val="clear" w:color="auto" w:fill="E6E6E6"/>
            <w:gridSpan w:val="3"/>
          </w:tcPr>
          <w:p>
            <w:pPr>
              <w:jc w:val="center"/>
            </w:pPr>
            <w:r>
              <w:t>渗透与蒸发指标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指标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地面透水系数k(mm/s)</w:t>
            </w:r>
          </w:p>
        </w:tc>
        <w:tc>
          <w:tcPr>
            <w:vAlign w:val="center"/>
          </w:tcPr>
          <w:p>
            <w:pPr/>
            <w:r>
              <w:t>4.51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蒸发量m(kg/(㎡·d))</w:t>
            </w:r>
          </w:p>
        </w:tc>
        <w:tc>
          <w:tcPr>
            <w:vAlign w:val="center"/>
          </w:tcPr>
          <w:p>
            <w:pPr/>
            <w:r>
              <w:t>1.69</w:t>
            </w:r>
          </w:p>
        </w:tc>
        <w:tc>
          <w:tcPr>
            <w:vAlign w:val="center"/>
          </w:tcPr>
          <w:p>
            <w:pPr/>
            <w:r>
              <w:t>1.6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2"/>
          </w:tcPr>
          <w:p>
            <w:pPr/>
            <w:r>
              <w:t>《城市居住区热环境设计标准》4.3.1条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2"/>
          </w:tcPr>
          <w:p>
            <w:pPr/>
            <w:r>
              <w:t>渗透面积比率、透水系数及蒸发量不应低于标准规定限值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2"/>
          </w:tcPr>
          <w:p>
            <w:pPr/>
            <w:r>
              <w:t>满足</w:t>
            </w:r>
          </w:p>
        </w:tc>
      </w:tr>
    </w:tbl>
    <w:p w:rsidR="006B57E0" w:rsidRPr="00FC0388" w:rsidRDefault="006B57E0" w:rsidP="00FC0388">
      <w:pPr>
        <w:pStyle w:val="a0"/>
        <w:ind w:firstLine="420"/>
        <w:rPr>
          <w:lang w:val="en-US"/>
        </w:rPr>
      </w:pPr>
    </w:p>
    <w:p w:rsidR="000B2FE8" w:rsidRDefault="00E72EFD" w:rsidP="000B2FE8">
      <w:pPr>
        <w:pStyle w:val="2"/>
      </w:pPr>
      <w:bookmarkStart w:id="47" w:name="_Toc16494782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可绿化屋面</w:t>
            </w:r>
            <w:r>
              <w:br/>
            </w: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屋面绿化率(%)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</w:p>
        </w:tc>
        <w:tc>
          <w:tcPr>
            <w:vAlign w:val="center"/>
          </w:tcPr>
          <w:p>
            <w:pPr/>
            <w:r>
              <w:t>6876.7</w:t>
            </w:r>
          </w:p>
        </w:tc>
        <w:tc>
          <w:tcPr>
            <w:vAlign w:val="center"/>
          </w:tcPr>
          <w:p>
            <w:pPr/>
            <w:r>
              <w:t>6868.1</w:t>
            </w:r>
          </w:p>
        </w:tc>
        <w:tc>
          <w:tcPr>
            <w:vAlign w:val="center"/>
          </w:tcPr>
          <w:p>
            <w:pPr/>
            <w:r>
              <w:t>6876.7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6876.7</w:t>
            </w:r>
          </w:p>
        </w:tc>
        <w:tc>
          <w:tcPr>
            <w:vAlign w:val="center"/>
          </w:tcPr>
          <w:p>
            <w:pPr/>
            <w:r>
              <w:t>6868.1</w:t>
            </w:r>
          </w:p>
        </w:tc>
        <w:tc>
          <w:tcPr>
            <w:vAlign w:val="center"/>
          </w:tcPr>
          <w:p>
            <w:pPr/>
            <w:r>
              <w:t>6876.7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t>《城市居住区热环境设计标准》4.4.2条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建筑屋面的绿化面积不应低于可绿化屋面面积的50%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t>满足</w:t>
            </w:r>
          </w:p>
        </w:tc>
      </w:tr>
    </w:tbl>
    <w:p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:rsidR="000B2FE8" w:rsidRDefault="000B2FE8" w:rsidP="000B2FE8">
      <w:pPr>
        <w:pStyle w:val="1"/>
      </w:pPr>
      <w:bookmarkStart w:id="49" w:name="_Toc16494786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:rsidTr="00A43C67">
        <w:tc>
          <w:tcPr>
            <w:tcW w:w="1867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:rsidR="00D63713" w:rsidRDefault="00D63713" w:rsidP="0003477B">
            <w:bookmarkStart w:id="53" w:name="底层通风架空率结论"/>
            <w:r>
              <w:rPr>
                <w:color w:val="FF0000"/>
              </w:rPr>
              <w:t>不满足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t>不满足任意一条时，进行评价性设计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4" w:name="绿化遮阳体叶面积指数结论"/>
            <w:r>
              <w:rPr>
                <w:color w:val="FF0000"/>
              </w:rPr>
              <w:t>不满足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4667" w:type="dxa"/>
            <w:gridSpan w:val="2"/>
            <w:shd w:val="clear" w:color="auto" w:fill="E6E6E6"/>
            <w:vAlign w:val="center"/>
          </w:tcPr>
          <w:p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5F2" w:rsidRDefault="00FE25F2" w:rsidP="00203A7D">
      <w:r>
        <w:separator/>
      </w:r>
    </w:p>
  </w:endnote>
  <w:endnote w:type="continuationSeparator" w:id="0">
    <w:p w:rsidR="00FE25F2" w:rsidRDefault="00FE25F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563F">
      <w:rPr>
        <w:rStyle w:val="a9"/>
        <w:noProof/>
      </w:rPr>
      <w:t>5</w: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5F2" w:rsidRDefault="00FE25F2" w:rsidP="00203A7D">
      <w:r>
        <w:separator/>
      </w:r>
    </w:p>
  </w:footnote>
  <w:footnote w:type="continuationSeparator" w:id="0">
    <w:p w:rsidR="00FE25F2" w:rsidRDefault="00FE25F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0F9" w:rsidRDefault="00DD50F9" w:rsidP="00DD50F9">
    <w:pPr>
      <w:pStyle w:val="a4"/>
      <w:jc w:val="left"/>
    </w:pPr>
    <w:r w:rsidRPr="00DD50F9">
      <w:rPr>
        <w:noProof/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Char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image" Target="/word/media/301fa1e6-0f73-43b5-bf83-80d4c8a0b229.png" Id="Rf43e43ce28e243ee" /><Relationship Type="http://schemas.openxmlformats.org/officeDocument/2006/relationships/image" Target="/word/media/5efae456-a5ba-4ba8-8bb2-42fbf6cd8bcb.png" Id="Rdc2dd27d43b341f9" /><Relationship Type="http://schemas.openxmlformats.org/officeDocument/2006/relationships/image" Target="/word/media/c6b20766-e23a-405e-9721-c15e5f6b998b.png" Id="R879d9218257b460b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住区热环境(规定性设计)计算书.dotx</Template>
  <TotalTime>3</TotalTime>
  <Pages>5</Pages>
  <Words>429</Words>
  <Characters>2451</Characters>
  <Application>Microsoft Office Word</Application>
  <DocSecurity>0</DocSecurity>
  <Lines>20</Lines>
  <Paragraphs>5</Paragraphs>
  <ScaleCrop>false</ScaleCrop>
  <Company>ths</Company>
  <LinksUpToDate>false</LinksUpToDate>
  <CharactersWithSpaces>2875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human</dc:creator>
  <cp:keywords/>
  <cp:lastModifiedBy>human</cp:lastModifiedBy>
  <cp:revision>1</cp:revision>
  <cp:lastPrinted>1899-12-31T16:00:00Z</cp:lastPrinted>
  <dcterms:created xsi:type="dcterms:W3CDTF">2020-03-23T09:11:00Z</dcterms:created>
  <dcterms:modified xsi:type="dcterms:W3CDTF">2020-03-23T09:14:00Z</dcterms:modified>
</cp:coreProperties>
</file>