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10号街坊改造设计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洛阳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河南科技大学</w:t>
            </w:r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河南科技大学</w:t>
            </w:r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43ce28e243ee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T15978790255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10号街坊改造设计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洛阳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34.68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112.45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西南偏南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dd27d43b341f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9218257b460b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西南偏南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30957.83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24081.10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388.66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9702.68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969.18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6869.74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10771.88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9778.69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6151.63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10.25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0.76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291.0</w:t>
            </w:r>
          </w:p>
        </w:tc>
        <w:tc>
          <w:tcPr>
            <w:vAlign w:val="center"/>
          </w:tcPr>
          <w:p>
            <w:pPr/>
            <w:r>
              <w:t>388.7</w:t>
            </w:r>
          </w:p>
        </w:tc>
        <w:tc>
          <w:tcPr>
            <w:vAlign w:val="center"/>
          </w:tcPr>
          <w:p>
            <w:pPr/>
            <w:r>
              <w:t>75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2040.7</w:t>
            </w:r>
          </w:p>
        </w:tc>
        <w:tc>
          <w:tcPr>
            <w:vAlign w:val="center"/>
          </w:tcPr>
          <w:p>
            <w:pPr/>
            <w:r>
              <w:t>5763.0</w:t>
            </w:r>
          </w:p>
        </w:tc>
        <w:tc>
          <w:tcPr>
            <w:vAlign w:val="center"/>
          </w:tcPr>
          <w:p>
            <w:pPr/>
            <w:r>
              <w:t>35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6876.7</w:t>
            </w:r>
          </w:p>
        </w:tc>
        <w:tc>
          <w:tcPr>
            <w:vAlign w:val="center"/>
          </w:tcPr>
          <w:p>
            <w:pPr/>
            <w:r>
              <w:t>230.1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10320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807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389</w:t>
            </w:r>
          </w:p>
        </w:tc>
        <w:tc>
          <w:tcPr>
            <w:vAlign w:val="center"/>
          </w:tcPr>
          <w:p>
            <w:pPr/>
            <w:r>
              <w:t>0.063</w:t>
            </w:r>
          </w:p>
        </w:tc>
        <w:tc>
          <w:tcPr>
            <w:vAlign w:val="center"/>
          </w:tcPr>
          <w:p>
            <w:pPr/>
            <w:r>
              <w:t>4.81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5763</w:t>
            </w:r>
          </w:p>
        </w:tc>
        <w:tc>
          <w:tcPr>
            <w:vAlign w:val="center"/>
          </w:tcPr>
          <w:p>
            <w:pPr/>
            <w:r>
              <w:t>0.937</w:t>
            </w:r>
          </w:p>
        </w:tc>
        <w:tc>
          <w:tcPr>
            <w:vAlign w:val="center"/>
          </w:tcPr>
          <w:p>
            <w:pPr/>
            <w:r>
              <w:t>4.49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6152</w:t>
            </w:r>
          </w:p>
        </w:tc>
        <w:tc>
          <w:tcPr>
            <w:vAlign w:val="center"/>
          </w:tcPr>
          <w:p>
            <w:pPr/>
            <w:r>
              <w:t>1.0</w:t>
            </w:r>
          </w:p>
        </w:tc>
        <w:tc>
          <w:tcPr>
            <w:vAlign w:val="center"/>
          </w:tcPr>
          <w:p>
            <w:pPr/>
            <w:r>
              <w:t>4.51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游憩场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t>4.51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t>1.69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6876.7</w:t>
            </w:r>
          </w:p>
        </w:tc>
        <w:tc>
          <w:tcPr>
            <w:vAlign w:val="center"/>
          </w:tcPr>
          <w:p>
            <w:pPr/>
            <w:r>
              <w:t>6868.1</w:t>
            </w:r>
          </w:p>
        </w:tc>
        <w:tc>
          <w:tcPr>
            <w:vAlign w:val="center"/>
          </w:tcPr>
          <w:p>
            <w:pPr/>
            <w:r>
              <w:t>6876.7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6876.7</w:t>
            </w:r>
          </w:p>
        </w:tc>
        <w:tc>
          <w:tcPr>
            <w:vAlign w:val="center"/>
          </w:tcPr>
          <w:p>
            <w:pPr/>
            <w:r>
              <w:t>6868.1</w:t>
            </w:r>
          </w:p>
        </w:tc>
        <w:tc>
          <w:tcPr>
            <w:vAlign w:val="center"/>
          </w:tcPr>
          <w:p>
            <w:pPr/>
            <w:r>
              <w:t>6876.7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301fa1e6-0f73-43b5-bf83-80d4c8a0b229.png" Id="Rf43e43ce28e243ee" /><Relationship Type="http://schemas.openxmlformats.org/officeDocument/2006/relationships/image" Target="/word/media/5efae456-a5ba-4ba8-8bb2-42fbf6cd8bcb.png" Id="Rdc2dd27d43b341f9" /><Relationship Type="http://schemas.openxmlformats.org/officeDocument/2006/relationships/image" Target="/word/media/c6b20766-e23a-405e-9721-c15e5f6b998b.png" Id="R879d9218257b460b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