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商学院</w:t>
            </w:r>
            <w:r>
              <w:rPr>
                <w:rFonts w:ascii="Times New Roman" w:hAnsi="Times New Roman" w:eastAsia="宋体" w:cs="Times New Roman"/>
                <w:szCs w:val="21"/>
              </w:rPr>
              <w:t>卫生间、浴室的地面和墙面、顶棚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均有设置防潮层。采用油毡防潮层，先抹20mm厚水泥砂浆找平层，上铺一毡二油。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0A3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6</TotalTime>
  <ScaleCrop>false</ScaleCrop>
  <LinksUpToDate>false</LinksUpToDate>
  <CharactersWithSpaces>166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Zzzz</cp:lastModifiedBy>
  <dcterms:modified xsi:type="dcterms:W3CDTF">2022-03-12T06:17:24Z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C3DD6F7CFDF24661BC3A90168965F098</vt:lpwstr>
  </property>
</Properties>
</file>