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建筑声环境SEDU2022</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20210808（SP1）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S1206409B</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7</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9</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80622811"/>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bl>
    <w:p>
      <w:pPr>
        <w:widowControl/>
        <w:jc w:val="center"/>
        <w:rPr>
          <w:rFonts w:ascii="宋体" w:hAnsi="宋体"/>
        </w:rPr>
      </w:pPr>
      <w:bookmarkStart w:id="11" w:name="参评建筑信息表"/>
      <w:bookmarkEnd w:id="11"/>
    </w:p>
    <w:p>
      <w:pPr>
        <w:pStyle w:val="2"/>
        <w:rPr>
          <w:sz w:val="28"/>
          <w:szCs w:val="28"/>
        </w:rPr>
      </w:pPr>
      <w:bookmarkStart w:id="12" w:name="_Toc80622812"/>
      <w:bookmarkStart w:id="13" w:name="_Toc479326718"/>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80622813"/>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JGJT_449-2018 </w:t>
      </w:r>
    </w:p>
    <w:p>
      <w:pPr>
        <w:pStyle w:val="3"/>
        <w:rPr>
          <w:sz w:val="24"/>
          <w:szCs w:val="24"/>
        </w:rPr>
      </w:pPr>
      <w:bookmarkStart w:id="18" w:name="_Toc80622814"/>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80622815"/>
      <w:bookmarkStart w:id="21" w:name="_Toc479326721"/>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80622816"/>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8062281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6767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467677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80622818"/>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80622819"/>
      <w:bookmarkStart w:id="31" w:name="_Toc479326726"/>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路段名称</w:t>
            </w:r>
          </w:p>
        </w:tc>
        <w:tc>
          <w:tcPr>
            <w:tcW w:w="848" w:type="dxa"/>
            <w:shd w:val="clear" w:color="auto" w:fill="E6E6E6"/>
            <w:vAlign w:val="center"/>
          </w:tcPr>
          <w:p>
            <w:pPr>
              <w:jc w:val="center"/>
            </w:pPr>
            <w:r>
              <w:t>路面</w:t>
            </w:r>
            <w:r>
              <w:br w:type="textWrapping"/>
            </w:r>
            <w:r>
              <w:t>材料</w:t>
            </w:r>
          </w:p>
        </w:tc>
        <w:tc>
          <w:tcPr>
            <w:tcW w:w="848" w:type="dxa"/>
            <w:shd w:val="clear" w:color="auto" w:fill="E6E6E6"/>
            <w:vAlign w:val="center"/>
          </w:tcPr>
          <w:p>
            <w:pPr>
              <w:jc w:val="center"/>
            </w:pPr>
            <w:r>
              <w:t>车道</w:t>
            </w:r>
            <w:r>
              <w:br w:type="textWrapping"/>
            </w:r>
            <w:r>
              <w:t>数量</w:t>
            </w:r>
          </w:p>
        </w:tc>
        <w:tc>
          <w:tcPr>
            <w:tcW w:w="848" w:type="dxa"/>
            <w:shd w:val="clear" w:color="auto" w:fill="E6E6E6"/>
            <w:vAlign w:val="center"/>
          </w:tcPr>
          <w:p>
            <w:pPr>
              <w:jc w:val="center"/>
            </w:pPr>
            <w:r>
              <w:t>时段</w:t>
            </w:r>
          </w:p>
        </w:tc>
        <w:tc>
          <w:tcPr>
            <w:tcW w:w="1075" w:type="dxa"/>
            <w:shd w:val="clear" w:color="auto" w:fill="E6E6E6"/>
            <w:vAlign w:val="center"/>
          </w:tcPr>
          <w:p>
            <w:pPr>
              <w:jc w:val="center"/>
            </w:pPr>
            <w:r>
              <w:t>设计车速</w:t>
            </w:r>
            <w:r>
              <w:br w:type="textWrapping"/>
            </w:r>
            <w:r>
              <w:t>km/h</w:t>
            </w:r>
          </w:p>
        </w:tc>
        <w:tc>
          <w:tcPr>
            <w:tcW w:w="905" w:type="dxa"/>
            <w:shd w:val="clear" w:color="auto" w:fill="E6E6E6"/>
            <w:vAlign w:val="center"/>
          </w:tcPr>
          <w:p>
            <w:pPr>
              <w:jc w:val="center"/>
            </w:pPr>
            <w:r>
              <w:t>小型车</w:t>
            </w:r>
            <w:r>
              <w:br w:type="textWrapping"/>
            </w:r>
            <w:r>
              <w:t>辆/h</w:t>
            </w:r>
          </w:p>
        </w:tc>
        <w:tc>
          <w:tcPr>
            <w:tcW w:w="905" w:type="dxa"/>
            <w:shd w:val="clear" w:color="auto" w:fill="E6E6E6"/>
            <w:vAlign w:val="center"/>
          </w:tcPr>
          <w:p>
            <w:pPr>
              <w:jc w:val="center"/>
            </w:pPr>
            <w:r>
              <w:t>中型车</w:t>
            </w:r>
            <w:r>
              <w:br w:type="textWrapping"/>
            </w:r>
            <w:r>
              <w:t>辆/h</w:t>
            </w:r>
          </w:p>
        </w:tc>
        <w:tc>
          <w:tcPr>
            <w:tcW w:w="905" w:type="dxa"/>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2</w:t>
            </w:r>
          </w:p>
        </w:tc>
        <w:tc>
          <w:tcPr>
            <w:tcW w:w="848" w:type="dxa"/>
            <w:vAlign w:val="center"/>
          </w:tcPr>
          <w:p>
            <w:pPr>
              <w:jc w:val="center"/>
            </w:pPr>
            <w:r>
              <w:t>昼间</w:t>
            </w:r>
          </w:p>
        </w:tc>
        <w:tc>
          <w:tcPr>
            <w:tcW w:w="1075" w:type="dxa"/>
            <w:vAlign w:val="center"/>
          </w:tcPr>
          <w:p>
            <w:pPr>
              <w:jc w:val="center"/>
            </w:pPr>
            <w:r>
              <w:t>40</w:t>
            </w:r>
          </w:p>
        </w:tc>
        <w:tc>
          <w:tcPr>
            <w:tcW w:w="905" w:type="dxa"/>
            <w:vAlign w:val="center"/>
          </w:tcPr>
          <w:p>
            <w:pPr>
              <w:jc w:val="center"/>
            </w:pPr>
            <w:r>
              <w:t>50</w:t>
            </w:r>
          </w:p>
        </w:tc>
        <w:tc>
          <w:tcPr>
            <w:tcW w:w="905" w:type="dxa"/>
            <w:vAlign w:val="center"/>
          </w:tcPr>
          <w:p>
            <w:pPr>
              <w:jc w:val="center"/>
            </w:pPr>
            <w:r>
              <w:t>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20</w:t>
            </w:r>
          </w:p>
        </w:tc>
        <w:tc>
          <w:tcPr>
            <w:tcW w:w="905" w:type="dxa"/>
            <w:vAlign w:val="center"/>
          </w:tcPr>
          <w:p>
            <w:pPr>
              <w:jc w:val="center"/>
            </w:pPr>
            <w:r>
              <w:t>20</w:t>
            </w:r>
          </w:p>
        </w:tc>
        <w:tc>
          <w:tcPr>
            <w:tcW w:w="905" w:type="dxa"/>
            <w:vAlign w:val="center"/>
          </w:tcPr>
          <w:p>
            <w:pPr>
              <w:jc w:val="center"/>
            </w:pPr>
            <w:r>
              <w:t>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4</w:t>
            </w:r>
          </w:p>
        </w:tc>
        <w:tc>
          <w:tcPr>
            <w:tcW w:w="848" w:type="dxa"/>
            <w:vAlign w:val="center"/>
          </w:tcPr>
          <w:p>
            <w:pPr>
              <w:jc w:val="center"/>
            </w:pPr>
            <w:r>
              <w:t>昼间</w:t>
            </w:r>
          </w:p>
        </w:tc>
        <w:tc>
          <w:tcPr>
            <w:tcW w:w="1075" w:type="dxa"/>
            <w:vAlign w:val="center"/>
          </w:tcPr>
          <w:p>
            <w:pPr>
              <w:jc w:val="center"/>
            </w:pPr>
            <w:r>
              <w:t>60</w:t>
            </w:r>
          </w:p>
        </w:tc>
        <w:tc>
          <w:tcPr>
            <w:tcW w:w="905" w:type="dxa"/>
            <w:vAlign w:val="center"/>
          </w:tcPr>
          <w:p>
            <w:pPr>
              <w:jc w:val="center"/>
            </w:pPr>
            <w:r>
              <w:t>500</w:t>
            </w:r>
          </w:p>
        </w:tc>
        <w:tc>
          <w:tcPr>
            <w:tcW w:w="905" w:type="dxa"/>
            <w:vAlign w:val="center"/>
          </w:tcPr>
          <w:p>
            <w:pPr>
              <w:jc w:val="center"/>
            </w:pPr>
            <w:r>
              <w:t>50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60</w:t>
            </w:r>
          </w:p>
        </w:tc>
        <w:tc>
          <w:tcPr>
            <w:tcW w:w="905" w:type="dxa"/>
            <w:vAlign w:val="center"/>
          </w:tcPr>
          <w:p>
            <w:pPr>
              <w:jc w:val="center"/>
            </w:pPr>
            <w:r>
              <w:t>100</w:t>
            </w:r>
          </w:p>
        </w:tc>
        <w:tc>
          <w:tcPr>
            <w:tcW w:w="905" w:type="dxa"/>
            <w:vAlign w:val="center"/>
          </w:tcPr>
          <w:p>
            <w:pPr>
              <w:jc w:val="center"/>
            </w:pPr>
            <w:r>
              <w:t>20</w:t>
            </w:r>
          </w:p>
        </w:tc>
        <w:tc>
          <w:tcPr>
            <w:tcW w:w="905" w:type="dxa"/>
            <w:vAlign w:val="center"/>
          </w:tcPr>
          <w:p>
            <w:pPr>
              <w:jc w:val="center"/>
            </w:pPr>
            <w:r>
              <w:t>0</w:t>
            </w:r>
          </w:p>
        </w:tc>
      </w:tr>
    </w:tbl>
    <w:p>
      <w:pPr>
        <w:spacing w:line="276" w:lineRule="auto"/>
        <w:jc w:val="center"/>
      </w:pPr>
    </w:p>
    <w:p/>
    <w:p>
      <w:pPr>
        <w:pStyle w:val="2"/>
        <w:rPr>
          <w:sz w:val="28"/>
          <w:szCs w:val="28"/>
        </w:rPr>
      </w:pPr>
      <w:bookmarkStart w:id="33" w:name="_Toc479326727"/>
      <w:bookmarkStart w:id="34" w:name="_Toc80622820"/>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46386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46386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46386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1"/>
                    <a:stretch>
                      <a:fillRect/>
                    </a:stretch>
                  </pic:blipFill>
                  <pic:spPr>
                    <a:xfrm>
                      <a:off x="0" y="0"/>
                      <a:ext cx="5667375" cy="46386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2"/>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9241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3"/>
                    <a:stretch>
                      <a:fillRect/>
                    </a:stretch>
                  </pic:blipFill>
                  <pic:spPr>
                    <a:xfrm>
                      <a:off x="0" y="0"/>
                      <a:ext cx="5667375" cy="2924175"/>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9241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4"/>
                    <a:stretch>
                      <a:fillRect/>
                    </a:stretch>
                  </pic:blipFill>
                  <pic:spPr>
                    <a:xfrm>
                      <a:off x="0" y="0"/>
                      <a:ext cx="5667375" cy="29241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室内分析单体DT</w:t>
            </w:r>
          </w:p>
        </w:tc>
        <w:tc>
          <w:tcPr>
            <w:tcW w:w="848" w:type="dxa"/>
            <w:vAlign w:val="center"/>
          </w:tcPr>
          <w:p>
            <w:pPr>
              <w:jc w:val="center"/>
            </w:pPr>
            <w:r>
              <w:t>昼间</w:t>
            </w:r>
          </w:p>
        </w:tc>
        <w:tc>
          <w:tcPr>
            <w:tcW w:w="1301" w:type="dxa"/>
            <w:vAlign w:val="center"/>
          </w:tcPr>
          <w:p>
            <w:pPr>
              <w:jc w:val="center"/>
            </w:pPr>
            <w:r>
              <w:t>66</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rPr>
                <w:rFonts w:hint="eastAsia" w:eastAsia="微软雅黑"/>
                <w:lang w:eastAsia="zh-CN"/>
              </w:rPr>
            </w:pPr>
            <w:r>
              <w:rPr>
                <w:rFonts w:hint="eastAsia"/>
                <w:color w:val="FF0000"/>
                <w:lang w:val="en-US" w:eastAsia="zh-CN"/>
              </w:rPr>
              <w:t>5</w:t>
            </w:r>
            <w:bookmarkStart w:id="54" w:name="_GoBack"/>
            <w:bookmarkEnd w:id="54"/>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60</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80622823"/>
      <w:bookmarkStart w:id="49" w:name="_Toc479326730"/>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66</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r>
              <w:rPr>
                <w:rFonts w:hint="eastAsia"/>
                <w:b/>
                <w:bCs/>
                <w:color w:val="FF0000"/>
                <w:lang w:val="en-US" w:eastAsia="zh-CN"/>
              </w:rPr>
              <w:t>5</w:t>
            </w:r>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1" w:name="夜间噪声最大值"/>
            <w:r>
              <w:rPr>
                <w:bCs/>
              </w:rPr>
              <w:t>60</w:t>
            </w:r>
            <w:bookmarkEnd w:id="51"/>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2" w:name="满足结论"/>
      <w:r>
        <w:rPr>
          <w:rFonts w:hint="eastAsia"/>
          <w:b/>
          <w:bCs w:val="0"/>
          <w:color w:val="FF0000"/>
          <w:sz w:val="21"/>
        </w:rPr>
        <w:t>满足</w:t>
      </w:r>
      <w:bookmarkEnd w:id="52"/>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3" w:name="得分结论"/>
      <w:r>
        <w:rPr>
          <w:b/>
          <w:color w:val="FF0000"/>
          <w:sz w:val="21"/>
          <w:szCs w:val="21"/>
        </w:rPr>
        <w:t>得</w:t>
      </w:r>
      <w:r>
        <w:rPr>
          <w:rFonts w:hint="eastAsia"/>
          <w:b/>
          <w:color w:val="FF0000"/>
          <w:sz w:val="21"/>
          <w:szCs w:val="21"/>
          <w:lang w:val="en-US" w:eastAsia="zh-CN"/>
        </w:rPr>
        <w:t>5</w:t>
      </w:r>
      <w:r>
        <w:rPr>
          <w:b/>
          <w:color w:val="FF0000"/>
          <w:sz w:val="21"/>
          <w:szCs w:val="21"/>
        </w:rPr>
        <w:t>分</w:t>
      </w:r>
      <w:bookmarkEnd w:id="53"/>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A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4E9"/>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1E9B"/>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949E1"/>
    <w:rsid w:val="00AA4DAF"/>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659F1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l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tmp4</Template>
  <Company>北京绿建软件有限公司</Company>
  <Pages>9</Pages>
  <Words>657</Words>
  <Characters>3751</Characters>
  <Lines>31</Lines>
  <Paragraphs>8</Paragraphs>
  <TotalTime>0</TotalTime>
  <ScaleCrop>false</ScaleCrop>
  <LinksUpToDate>false</LinksUpToDate>
  <CharactersWithSpaces>4400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2022-01-06T15:13:00Z</dcterms:created>
  <dc:creator>楊睿洋</dc:creator>
  <cp:lastModifiedBy>Barbara</cp:lastModifiedBy>
  <cp:lastPrinted>2016-08-03T02:42:00Z</cp:lastPrinted>
  <dcterms:modified xsi:type="dcterms:W3CDTF">2022-03-16T05:32:33Z</dcterms:modified>
  <dc:title>电影学院建模(3)室外噪声分析报告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E7A1482190F04A42B4E91663F67412E8</vt:lpwstr>
  </property>
</Properties>
</file>