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河北-保定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af2f0d142c4c2e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T17732299268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EC091B" w:rsidRPr="00EC091B" w:rsidRDefault="00EC091B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d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d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d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d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d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d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d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加气砼</w:t>
        </w:r>
        <w:r w:rsidR="00EC091B" w:rsidRPr="002741A2">
          <w:rPr>
            <w:rStyle w:val="ad"/>
            <w:noProof/>
          </w:rPr>
          <w:t>80</w:t>
        </w:r>
        <w:r w:rsidR="00EC091B" w:rsidRPr="002741A2">
          <w:rPr>
            <w:rStyle w:val="ad"/>
            <w:rFonts w:hint="eastAsia"/>
            <w:noProof/>
          </w:rPr>
          <w:t>＋钢筋砼</w:t>
        </w:r>
        <w:r w:rsidR="00EC091B" w:rsidRPr="002741A2">
          <w:rPr>
            <w:rStyle w:val="ad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d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d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河北-保定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38.85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115.51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寒冷A区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 xml:space="preserve">26077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 xml:space="preserve"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 xml:space="preserve">24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 xml:space="preserve">96.0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r>
              <w:t>条形</w:t>
            </w:r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公共建筑节能设计标准DB13(J)81-2016</w:t>
      </w:r>
      <w:bookmarkEnd w:id="36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651560386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651560387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651560388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651560389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65156039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51560391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5156039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651560393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51560394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51560395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51560396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651560397" r:id="rId33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51560398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51560399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5156040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5156040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5156040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5156040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51560404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2B76E4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2B76E4">
              <w:rPr>
                <w:position w:val="-8"/>
              </w:rPr>
              <w:pict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651560405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9" w:name="t_e_avg"/>
            <w:r>
              <w:rPr>
                <w:rFonts w:hint="eastAsia"/>
              </w:rPr>
              <w:t>0.40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0" w:name="室外相对湿度"/>
            <w:r>
              <w:rPr>
                <w:rFonts w:hint="eastAsia"/>
              </w:rPr>
              <w:t>53.00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1" w:name="Z"/>
            <w:r>
              <w:rPr>
                <w:rFonts w:hint="eastAsia"/>
              </w:rPr>
              <w:t>108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2" w:name="气象数据参考"/>
      <w:bookmarkEnd w:id="52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屋顶构造一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0.023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硬质聚氨酯泡沫塑料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75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0.024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2.604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水泥膨胀珍珠岩(ρ=800)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0.260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0.077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钢筋混凝土（1）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0.057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-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-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-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-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333.37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-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-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-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E4" w:rsidRDefault="002B76E4" w:rsidP="008469FD">
      <w:r>
        <w:separator/>
      </w:r>
    </w:p>
  </w:endnote>
  <w:endnote w:type="continuationSeparator" w:id="0">
    <w:p w:rsidR="002B76E4" w:rsidRDefault="002B76E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E4" w:rsidRDefault="002B76E4" w:rsidP="008469FD">
      <w:r>
        <w:separator/>
      </w:r>
    </w:p>
  </w:footnote>
  <w:footnote w:type="continuationSeparator" w:id="0">
    <w:p w:rsidR="002B76E4" w:rsidRDefault="002B76E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9323c653-82c3-4653-a42b-cc592395317b.png" Id="R4caf2f0d142c4c2e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267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gbsmba5</cp:lastModifiedBy>
  <cp:revision>23</cp:revision>
  <dcterms:created xsi:type="dcterms:W3CDTF">2017-06-29T06:00:00Z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